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BCB20A" w14:textId="291204E1" w:rsidR="00B34ADE" w:rsidRPr="004A2840" w:rsidRDefault="00F83A2A" w:rsidP="0060060B">
      <w:r w:rsidRPr="004A2840">
        <w:rPr>
          <w:noProof/>
        </w:rPr>
        <w:drawing>
          <wp:anchor distT="0" distB="0" distL="114300" distR="114300" simplePos="0" relativeHeight="251658240" behindDoc="0" locked="0" layoutInCell="1" allowOverlap="1" wp14:anchorId="3056577A" wp14:editId="3452D839">
            <wp:simplePos x="0" y="0"/>
            <wp:positionH relativeFrom="column">
              <wp:posOffset>-1085850</wp:posOffset>
            </wp:positionH>
            <wp:positionV relativeFrom="paragraph">
              <wp:posOffset>-904875</wp:posOffset>
            </wp:positionV>
            <wp:extent cx="7802747" cy="10226040"/>
            <wp:effectExtent l="0" t="0" r="8255"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02747" cy="10226040"/>
                    </a:xfrm>
                    <a:prstGeom prst="rect">
                      <a:avLst/>
                    </a:prstGeom>
                  </pic:spPr>
                </pic:pic>
              </a:graphicData>
            </a:graphic>
            <wp14:sizeRelH relativeFrom="margin">
              <wp14:pctWidth>0</wp14:pctWidth>
            </wp14:sizeRelH>
            <wp14:sizeRelV relativeFrom="margin">
              <wp14:pctHeight>0</wp14:pctHeight>
            </wp14:sizeRelV>
          </wp:anchor>
        </w:drawing>
      </w:r>
    </w:p>
    <w:p w14:paraId="411BF635" w14:textId="0088F45B" w:rsidR="00F83A2A" w:rsidRPr="004A2840" w:rsidRDefault="00F83A2A" w:rsidP="0060060B"/>
    <w:p w14:paraId="572C9A0D" w14:textId="77777777" w:rsidR="00F83A2A" w:rsidRPr="004A2840" w:rsidRDefault="00F83A2A" w:rsidP="0060060B"/>
    <w:p w14:paraId="69057A86" w14:textId="763F7A3D" w:rsidR="00F83A2A" w:rsidRPr="004A2840" w:rsidRDefault="00F83A2A" w:rsidP="0060060B"/>
    <w:p w14:paraId="6295BFC9" w14:textId="77777777" w:rsidR="00F83A2A" w:rsidRPr="004A2840" w:rsidRDefault="00F83A2A" w:rsidP="0060060B"/>
    <w:p w14:paraId="529168B0" w14:textId="77777777" w:rsidR="00F83A2A" w:rsidRPr="004A2840" w:rsidRDefault="00F83A2A" w:rsidP="0060060B"/>
    <w:p w14:paraId="0F886FD7" w14:textId="77777777" w:rsidR="00F83A2A" w:rsidRPr="004A2840" w:rsidRDefault="00F83A2A" w:rsidP="0060060B"/>
    <w:p w14:paraId="645FB52B" w14:textId="51E0ADD3" w:rsidR="00F83A2A" w:rsidRPr="004A2840" w:rsidRDefault="00F83A2A" w:rsidP="0060060B"/>
    <w:p w14:paraId="521FBE61" w14:textId="5DAB231B" w:rsidR="00F83A2A" w:rsidRPr="004A2840" w:rsidRDefault="00F83A2A" w:rsidP="0060060B"/>
    <w:p w14:paraId="33737895" w14:textId="0FA18C68" w:rsidR="00F83A2A" w:rsidRPr="004A2840" w:rsidRDefault="00F83A2A" w:rsidP="0060060B"/>
    <w:p w14:paraId="5AA10704" w14:textId="77777777" w:rsidR="00F83A2A" w:rsidRPr="004A2840" w:rsidRDefault="00F83A2A" w:rsidP="0060060B"/>
    <w:p w14:paraId="363B2027" w14:textId="64684CDF" w:rsidR="00F83A2A" w:rsidRPr="004A2840" w:rsidRDefault="00F83A2A" w:rsidP="0060060B"/>
    <w:p w14:paraId="53415D89" w14:textId="77777777" w:rsidR="00F83A2A" w:rsidRPr="004A2840" w:rsidRDefault="00F83A2A" w:rsidP="0060060B"/>
    <w:p w14:paraId="6D71B6AB" w14:textId="77777777" w:rsidR="00F83A2A" w:rsidRPr="004A2840" w:rsidRDefault="00F83A2A" w:rsidP="0060060B"/>
    <w:p w14:paraId="5F144D12" w14:textId="11A7D5CF" w:rsidR="00F83A2A" w:rsidRPr="004A2840" w:rsidRDefault="00F83A2A" w:rsidP="0060060B"/>
    <w:p w14:paraId="5801AD00" w14:textId="3FB8AB32" w:rsidR="00F83A2A" w:rsidRPr="004A2840" w:rsidRDefault="00F83A2A" w:rsidP="0060060B"/>
    <w:p w14:paraId="41E67EF5" w14:textId="3351FE76" w:rsidR="00F83A2A" w:rsidRPr="004A2840" w:rsidRDefault="004A2840" w:rsidP="0060060B">
      <w:r w:rsidRPr="004A2840">
        <w:rPr>
          <w:noProof/>
        </w:rPr>
        <mc:AlternateContent>
          <mc:Choice Requires="wps">
            <w:drawing>
              <wp:anchor distT="0" distB="0" distL="114300" distR="114300" simplePos="0" relativeHeight="251658241" behindDoc="0" locked="0" layoutInCell="1" allowOverlap="1" wp14:anchorId="05CBD48B" wp14:editId="64CC15B9">
                <wp:simplePos x="0" y="0"/>
                <wp:positionH relativeFrom="page">
                  <wp:posOffset>3829050</wp:posOffset>
                </wp:positionH>
                <wp:positionV relativeFrom="page">
                  <wp:posOffset>6610350</wp:posOffset>
                </wp:positionV>
                <wp:extent cx="3822700" cy="3017520"/>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3822700" cy="3017520"/>
                        </a:xfrm>
                        <a:prstGeom prst="rect">
                          <a:avLst/>
                        </a:prstGeom>
                        <a:noFill/>
                        <a:ln w="6350">
                          <a:noFill/>
                        </a:ln>
                      </wps:spPr>
                      <wps:txbx>
                        <w:txbxContent>
                          <w:p w14:paraId="4E47DDE6" w14:textId="77777777" w:rsidR="004A2840" w:rsidRPr="004A2840" w:rsidRDefault="004A2840" w:rsidP="004A2840">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INFORME</w:t>
                            </w:r>
                          </w:p>
                          <w:p w14:paraId="3618A15D" w14:textId="77777777" w:rsidR="004A2840" w:rsidRPr="004A2840" w:rsidRDefault="004A2840" w:rsidP="004A2840">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DE GESTIÓN</w:t>
                            </w:r>
                          </w:p>
                          <w:p w14:paraId="69F33A55" w14:textId="77777777" w:rsidR="004A2840" w:rsidRPr="004A2840" w:rsidRDefault="004A2840" w:rsidP="004A2840">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ADMINISTRATIVA</w:t>
                            </w:r>
                          </w:p>
                          <w:p w14:paraId="3311CF02" w14:textId="77777777" w:rsidR="004A2840" w:rsidRPr="004A2840" w:rsidRDefault="004A2840" w:rsidP="004A2840">
                            <w:pPr>
                              <w:pStyle w:val="NoSpacing"/>
                              <w:jc w:val="right"/>
                              <w:rPr>
                                <w:rFonts w:ascii="Verdana" w:hAnsi="Verdana"/>
                                <w:b/>
                                <w:bCs/>
                                <w:color w:val="FFFFFF" w:themeColor="background1"/>
                                <w:sz w:val="52"/>
                                <w:szCs w:val="52"/>
                              </w:rPr>
                            </w:pPr>
                          </w:p>
                          <w:p w14:paraId="4D3F4A6E" w14:textId="77777777" w:rsidR="004A2840" w:rsidRPr="004A2840" w:rsidRDefault="004A2840" w:rsidP="004A2840">
                            <w:pPr>
                              <w:pStyle w:val="NoSpacing"/>
                              <w:jc w:val="right"/>
                              <w:rPr>
                                <w:rFonts w:ascii="Verdana" w:hAnsi="Verdana"/>
                                <w:b/>
                                <w:bCs/>
                                <w:color w:val="FFFFFF" w:themeColor="background1"/>
                              </w:rPr>
                            </w:pPr>
                            <w:r w:rsidRPr="004A2840">
                              <w:rPr>
                                <w:rFonts w:ascii="Verdana" w:hAnsi="Verdana"/>
                                <w:b/>
                                <w:bCs/>
                                <w:color w:val="FFFFFF" w:themeColor="background1"/>
                                <w:sz w:val="52"/>
                                <w:szCs w:val="52"/>
                              </w:rPr>
                              <w:tab/>
                              <w:t>MINISTERIO DE MINAS Y ENERGÍA</w:t>
                            </w:r>
                          </w:p>
                          <w:p w14:paraId="10173B7A" w14:textId="77777777" w:rsidR="004A2840" w:rsidRPr="004A2840" w:rsidRDefault="004A2840" w:rsidP="004A2840">
                            <w:pPr>
                              <w:pStyle w:val="NoSpacing"/>
                              <w:jc w:val="right"/>
                              <w:rPr>
                                <w:rFonts w:ascii="Verdana" w:hAnsi="Verdana"/>
                                <w:b/>
                                <w:bCs/>
                                <w:color w:val="FFFFFF" w:themeColor="background1"/>
                                <w:sz w:val="28"/>
                                <w:szCs w:val="28"/>
                              </w:rPr>
                            </w:pPr>
                          </w:p>
                          <w:p w14:paraId="66515ECE" w14:textId="77777777" w:rsidR="004A2840" w:rsidRPr="004A2840" w:rsidRDefault="004A2840" w:rsidP="004A2840">
                            <w:pPr>
                              <w:pStyle w:val="NoSpacing"/>
                              <w:jc w:val="right"/>
                              <w:rPr>
                                <w:rFonts w:ascii="Verdana" w:hAnsi="Verdana"/>
                                <w:b/>
                                <w:bCs/>
                                <w:color w:val="FFFFFF" w:themeColor="background1"/>
                                <w:sz w:val="28"/>
                                <w:szCs w:val="28"/>
                              </w:rPr>
                            </w:pPr>
                            <w:r w:rsidRPr="004A2840">
                              <w:rPr>
                                <w:rFonts w:ascii="Verdana" w:hAnsi="Verdana"/>
                                <w:b/>
                                <w:bCs/>
                                <w:color w:val="FFFFFF" w:themeColor="background1"/>
                                <w:sz w:val="28"/>
                                <w:szCs w:val="28"/>
                              </w:rPr>
                              <w:t>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c="http://schemas.openxmlformats.org/drawingml/2006/chart" xmlns:arto="http://schemas.microsoft.com/office/word/2006/arto">
            <w:pict>
              <v:shapetype id="_x0000_t202" coordsize="21600,21600" o:spt="202" path="m,l,21600r21600,l21600,xe" w14:anchorId="05CBD48B">
                <v:stroke joinstyle="miter"/>
                <v:path gradientshapeok="t" o:connecttype="rect"/>
              </v:shapetype>
              <v:shape id="Cuadro de texto 2" style="position:absolute;left:0;text-align:left;margin-left:301.5pt;margin-top:520.5pt;width:301pt;height:237.6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">
                <v:textbox>
                  <w:txbxContent>
                    <w:p w:rsidRPr="004A2840" w:rsidR="004A2840" w:rsidP="004A2840" w:rsidRDefault="004A2840" w14:paraId="4E47DDE6" w14:textId="77777777">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INFORME</w:t>
                      </w:r>
                    </w:p>
                    <w:p w:rsidRPr="004A2840" w:rsidR="004A2840" w:rsidP="004A2840" w:rsidRDefault="004A2840" w14:paraId="3618A15D" w14:textId="77777777">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DE GESTIÓN</w:t>
                      </w:r>
                    </w:p>
                    <w:p w:rsidRPr="004A2840" w:rsidR="004A2840" w:rsidP="004A2840" w:rsidRDefault="004A2840" w14:paraId="69F33A55" w14:textId="77777777">
                      <w:pPr>
                        <w:pStyle w:val="NoSpacing"/>
                        <w:jc w:val="right"/>
                        <w:rPr>
                          <w:rFonts w:ascii="Verdana" w:hAnsi="Verdana"/>
                          <w:b/>
                          <w:bCs/>
                          <w:color w:val="FFFFFF" w:themeColor="background1"/>
                          <w:sz w:val="52"/>
                          <w:szCs w:val="52"/>
                        </w:rPr>
                      </w:pPr>
                      <w:r w:rsidRPr="004A2840">
                        <w:rPr>
                          <w:rFonts w:ascii="Verdana" w:hAnsi="Verdana"/>
                          <w:b/>
                          <w:bCs/>
                          <w:color w:val="FFFFFF" w:themeColor="background1"/>
                          <w:sz w:val="52"/>
                          <w:szCs w:val="52"/>
                        </w:rPr>
                        <w:t>ADMINISTRATIVA</w:t>
                      </w:r>
                    </w:p>
                    <w:p w:rsidRPr="004A2840" w:rsidR="004A2840" w:rsidP="004A2840" w:rsidRDefault="004A2840" w14:paraId="3311CF02" w14:textId="77777777">
                      <w:pPr>
                        <w:pStyle w:val="NoSpacing"/>
                        <w:jc w:val="right"/>
                        <w:rPr>
                          <w:rFonts w:ascii="Verdana" w:hAnsi="Verdana"/>
                          <w:b/>
                          <w:bCs/>
                          <w:color w:val="FFFFFF" w:themeColor="background1"/>
                          <w:sz w:val="52"/>
                          <w:szCs w:val="52"/>
                        </w:rPr>
                      </w:pPr>
                    </w:p>
                    <w:p w:rsidRPr="004A2840" w:rsidR="004A2840" w:rsidP="004A2840" w:rsidRDefault="004A2840" w14:paraId="4D3F4A6E" w14:textId="77777777">
                      <w:pPr>
                        <w:pStyle w:val="NoSpacing"/>
                        <w:jc w:val="right"/>
                        <w:rPr>
                          <w:rFonts w:ascii="Verdana" w:hAnsi="Verdana"/>
                          <w:b/>
                          <w:bCs/>
                          <w:color w:val="FFFFFF" w:themeColor="background1"/>
                        </w:rPr>
                      </w:pPr>
                      <w:r w:rsidRPr="004A2840">
                        <w:rPr>
                          <w:rFonts w:ascii="Verdana" w:hAnsi="Verdana"/>
                          <w:b/>
                          <w:bCs/>
                          <w:color w:val="FFFFFF" w:themeColor="background1"/>
                          <w:sz w:val="52"/>
                          <w:szCs w:val="52"/>
                        </w:rPr>
                        <w:tab/>
                        <w:t>MINISTERIO DE MINAS Y ENERGÍA</w:t>
                      </w:r>
                    </w:p>
                    <w:p w:rsidRPr="004A2840" w:rsidR="004A2840" w:rsidP="004A2840" w:rsidRDefault="004A2840" w14:paraId="10173B7A" w14:textId="77777777">
                      <w:pPr>
                        <w:pStyle w:val="NoSpacing"/>
                        <w:jc w:val="right"/>
                        <w:rPr>
                          <w:rFonts w:ascii="Verdana" w:hAnsi="Verdana"/>
                          <w:b/>
                          <w:bCs/>
                          <w:color w:val="FFFFFF" w:themeColor="background1"/>
                          <w:sz w:val="28"/>
                          <w:szCs w:val="28"/>
                        </w:rPr>
                      </w:pPr>
                    </w:p>
                    <w:p w:rsidRPr="004A2840" w:rsidR="004A2840" w:rsidP="004A2840" w:rsidRDefault="004A2840" w14:paraId="66515ECE" w14:textId="77777777">
                      <w:pPr>
                        <w:pStyle w:val="NoSpacing"/>
                        <w:jc w:val="right"/>
                        <w:rPr>
                          <w:rFonts w:ascii="Verdana" w:hAnsi="Verdana"/>
                          <w:b/>
                          <w:bCs/>
                          <w:color w:val="FFFFFF" w:themeColor="background1"/>
                          <w:sz w:val="28"/>
                          <w:szCs w:val="28"/>
                        </w:rPr>
                      </w:pPr>
                      <w:r w:rsidRPr="004A2840">
                        <w:rPr>
                          <w:rFonts w:ascii="Verdana" w:hAnsi="Verdana"/>
                          <w:b/>
                          <w:bCs/>
                          <w:color w:val="FFFFFF" w:themeColor="background1"/>
                          <w:sz w:val="28"/>
                          <w:szCs w:val="28"/>
                        </w:rPr>
                        <w:t>2026</w:t>
                      </w:r>
                    </w:p>
                  </w:txbxContent>
                </v:textbox>
                <w10:wrap anchorx="page" anchory="page"/>
              </v:shape>
            </w:pict>
          </mc:Fallback>
        </mc:AlternateContent>
      </w:r>
    </w:p>
    <w:p w14:paraId="40CA2272" w14:textId="69DB9172" w:rsidR="00F83A2A" w:rsidRPr="004A2840" w:rsidRDefault="00F83A2A" w:rsidP="0060060B"/>
    <w:p w14:paraId="5D677DFC" w14:textId="7794F3D1" w:rsidR="00F83A2A" w:rsidRPr="004A2840" w:rsidRDefault="00F83A2A" w:rsidP="0060060B"/>
    <w:p w14:paraId="0098F2AB" w14:textId="77777777" w:rsidR="00F83A2A" w:rsidRPr="004A2840" w:rsidRDefault="00F83A2A" w:rsidP="0060060B"/>
    <w:p w14:paraId="165BE834" w14:textId="77777777" w:rsidR="00F83A2A" w:rsidRPr="004A2840" w:rsidRDefault="00F83A2A" w:rsidP="0060060B"/>
    <w:p w14:paraId="7BAAA3AA" w14:textId="77777777" w:rsidR="00F83A2A" w:rsidRPr="004A2840" w:rsidRDefault="00F83A2A" w:rsidP="0060060B"/>
    <w:p w14:paraId="5C113A88" w14:textId="77777777" w:rsidR="00F83A2A" w:rsidRPr="004A2840" w:rsidRDefault="00F83A2A" w:rsidP="0060060B"/>
    <w:p w14:paraId="14514C72" w14:textId="142071C7" w:rsidR="7505FD8C" w:rsidRPr="004A2840" w:rsidRDefault="699BECB3" w:rsidP="0060060B">
      <w:r w:rsidRPr="004A2840">
        <w:t>Apreciado equipo,</w:t>
      </w:r>
    </w:p>
    <w:p w14:paraId="598E6EA7" w14:textId="6AFF0CE9" w:rsidR="0083555A" w:rsidRPr="004A2840" w:rsidRDefault="0083555A" w:rsidP="00957A94">
      <w:r w:rsidRPr="004A2840">
        <w:t>El presente documento corresponde a la plantilla oficial para la elaboración del Informe de Gestión Administrativa del Ministerio de Minas y Energía, correspondiente al cuatrienio agosto de 2022 a marzo de 2026.</w:t>
      </w:r>
    </w:p>
    <w:p w14:paraId="4837E5B8" w14:textId="77777777" w:rsidR="0083555A" w:rsidRPr="0083555A" w:rsidRDefault="0083555A" w:rsidP="00957A94">
      <w:r w:rsidRPr="0083555A">
        <w:t>Su objetivo es garantizar que la información reportada sea homogénea, comparable, clara y alineada con los lineamientos de empalme del Gobierno nacional.</w:t>
      </w:r>
    </w:p>
    <w:p w14:paraId="237490A6" w14:textId="77777777" w:rsidR="0083555A" w:rsidRPr="004A2840" w:rsidRDefault="0083555A" w:rsidP="00957A94">
      <w:r w:rsidRPr="0083555A">
        <w:t>A continuación, se presentan las directrices que deben seguir para el adecuado diligenciamiento del informe:</w:t>
      </w:r>
    </w:p>
    <w:p w14:paraId="395CC8F5" w14:textId="58DE5015" w:rsidR="00BA6109" w:rsidRPr="00957A94" w:rsidRDefault="0037061D" w:rsidP="00957A94">
      <w:pPr>
        <w:pStyle w:val="ListParagraph"/>
        <w:rPr>
          <w:b/>
          <w:bCs/>
        </w:rPr>
      </w:pPr>
      <w:r w:rsidRPr="00957A94">
        <w:rPr>
          <w:b/>
          <w:bCs/>
        </w:rPr>
        <w:t>Recomendaciones de contenido (CLAVE)</w:t>
      </w:r>
    </w:p>
    <w:p w14:paraId="0687D320" w14:textId="77777777" w:rsidR="0037061D" w:rsidRPr="0037061D" w:rsidRDefault="0037061D" w:rsidP="001B662C">
      <w:pPr>
        <w:pStyle w:val="ListParagraph"/>
        <w:numPr>
          <w:ilvl w:val="1"/>
          <w:numId w:val="10"/>
        </w:numPr>
      </w:pPr>
      <w:r w:rsidRPr="0037061D">
        <w:t>Priorizar resultados sobre actividades.</w:t>
      </w:r>
    </w:p>
    <w:p w14:paraId="23BB177E" w14:textId="77777777" w:rsidR="0037061D" w:rsidRPr="0037061D" w:rsidRDefault="0037061D" w:rsidP="001B662C">
      <w:pPr>
        <w:pStyle w:val="ListParagraph"/>
        <w:numPr>
          <w:ilvl w:val="1"/>
          <w:numId w:val="10"/>
        </w:numPr>
      </w:pPr>
      <w:r w:rsidRPr="0037061D">
        <w:t>Incluir datos cuantitativos y verificables.</w:t>
      </w:r>
    </w:p>
    <w:p w14:paraId="5B80FE56" w14:textId="77777777" w:rsidR="0037061D" w:rsidRPr="0037061D" w:rsidRDefault="0037061D" w:rsidP="001B662C">
      <w:pPr>
        <w:pStyle w:val="ListParagraph"/>
        <w:numPr>
          <w:ilvl w:val="1"/>
          <w:numId w:val="10"/>
        </w:numPr>
      </w:pPr>
      <w:r w:rsidRPr="0037061D">
        <w:t>Mantener coherencia entre texto, cifras y soportes.</w:t>
      </w:r>
    </w:p>
    <w:p w14:paraId="7EAA009B" w14:textId="77777777" w:rsidR="0037061D" w:rsidRPr="0037061D" w:rsidRDefault="0037061D" w:rsidP="001B662C">
      <w:pPr>
        <w:pStyle w:val="ListParagraph"/>
        <w:numPr>
          <w:ilvl w:val="1"/>
          <w:numId w:val="10"/>
        </w:numPr>
      </w:pPr>
      <w:r w:rsidRPr="0037061D">
        <w:t>Evitar información redundante entre capítulos.</w:t>
      </w:r>
    </w:p>
    <w:p w14:paraId="5AE63291" w14:textId="77777777" w:rsidR="0037061D" w:rsidRPr="0037061D" w:rsidRDefault="0037061D" w:rsidP="001B662C">
      <w:pPr>
        <w:pStyle w:val="ListParagraph"/>
        <w:numPr>
          <w:ilvl w:val="1"/>
          <w:numId w:val="10"/>
        </w:numPr>
      </w:pPr>
      <w:r w:rsidRPr="0037061D">
        <w:t>Usar lenguaje claro, técnico e institucional.</w:t>
      </w:r>
    </w:p>
    <w:p w14:paraId="4C2ED30B" w14:textId="77777777" w:rsidR="0037061D" w:rsidRPr="0037061D" w:rsidRDefault="0037061D" w:rsidP="001B662C">
      <w:pPr>
        <w:pStyle w:val="ListParagraph"/>
        <w:numPr>
          <w:ilvl w:val="1"/>
          <w:numId w:val="10"/>
        </w:numPr>
      </w:pPr>
      <w:r w:rsidRPr="0037061D">
        <w:t>Garantizar consistencia en fechas, cifras y nombres.</w:t>
      </w:r>
    </w:p>
    <w:p w14:paraId="6BA1CDB0" w14:textId="3B633C31" w:rsidR="00BA6109" w:rsidRDefault="0037061D" w:rsidP="001B662C">
      <w:pPr>
        <w:pStyle w:val="ListParagraph"/>
        <w:numPr>
          <w:ilvl w:val="1"/>
          <w:numId w:val="10"/>
        </w:numPr>
      </w:pPr>
      <w:r w:rsidRPr="0037061D">
        <w:t>Evidenciar avances acumulados del cuatrienio, no solo acciones puntuales.</w:t>
      </w:r>
    </w:p>
    <w:p w14:paraId="3701C428" w14:textId="77777777" w:rsidR="0037061D" w:rsidRPr="0037061D" w:rsidRDefault="0037061D" w:rsidP="00957A94">
      <w:pPr>
        <w:pStyle w:val="ListParagraph"/>
        <w:numPr>
          <w:ilvl w:val="0"/>
          <w:numId w:val="0"/>
        </w:numPr>
        <w:ind w:left="720"/>
      </w:pPr>
    </w:p>
    <w:p w14:paraId="6F14DD64" w14:textId="0322DDC0" w:rsidR="00D13E27" w:rsidRPr="00957A94" w:rsidRDefault="004A2840" w:rsidP="008C4168">
      <w:pPr>
        <w:pStyle w:val="ListParagraph"/>
        <w:rPr>
          <w:b/>
          <w:bCs/>
        </w:rPr>
      </w:pPr>
      <w:r w:rsidRPr="00957A94">
        <w:rPr>
          <w:b/>
          <w:bCs/>
        </w:rPr>
        <w:t>Lineamientos estructurales (OBLIGATORIOS)</w:t>
      </w:r>
    </w:p>
    <w:p w14:paraId="2E8B0638" w14:textId="7934D5EB" w:rsidR="00DB1442" w:rsidRPr="00DB1442" w:rsidRDefault="00DB1442" w:rsidP="001B662C">
      <w:pPr>
        <w:pStyle w:val="ListParagraph"/>
        <w:numPr>
          <w:ilvl w:val="1"/>
          <w:numId w:val="10"/>
        </w:numPr>
      </w:pPr>
      <w:r w:rsidRPr="00DB1442">
        <w:t xml:space="preserve">No se permite eliminar capítulos del documento. </w:t>
      </w:r>
    </w:p>
    <w:p w14:paraId="267A6764" w14:textId="223974DA" w:rsidR="00DB1442" w:rsidRPr="00DB1442" w:rsidRDefault="00DB1442" w:rsidP="001B662C">
      <w:pPr>
        <w:pStyle w:val="ListParagraph"/>
        <w:numPr>
          <w:ilvl w:val="2"/>
          <w:numId w:val="10"/>
        </w:numPr>
      </w:pPr>
      <w:r w:rsidRPr="00DB1442">
        <w:t xml:space="preserve">Los capítulos definidos en la estructura deben mantenerse en su totalidad. </w:t>
      </w:r>
    </w:p>
    <w:p w14:paraId="0F7E9F60" w14:textId="377568DA" w:rsidR="00D13E27" w:rsidRPr="00DB1442" w:rsidRDefault="00DB1442" w:rsidP="001B662C">
      <w:pPr>
        <w:pStyle w:val="ListParagraph"/>
        <w:numPr>
          <w:ilvl w:val="1"/>
          <w:numId w:val="10"/>
        </w:numPr>
      </w:pPr>
      <w:r w:rsidRPr="00DB1442">
        <w:t>Sí está permitido:</w:t>
      </w:r>
    </w:p>
    <w:p w14:paraId="24E88439" w14:textId="77777777" w:rsidR="00DB1442" w:rsidRPr="00DB1442" w:rsidRDefault="00DB1442" w:rsidP="001B662C">
      <w:pPr>
        <w:pStyle w:val="ListParagraph"/>
        <w:numPr>
          <w:ilvl w:val="2"/>
          <w:numId w:val="10"/>
        </w:numPr>
      </w:pPr>
      <w:r w:rsidRPr="00DB1442">
        <w:t>Abrir nuevos subcapítulos cuando se requiera ampliar información.</w:t>
      </w:r>
    </w:p>
    <w:p w14:paraId="072553C1" w14:textId="77777777" w:rsidR="00DB1442" w:rsidRPr="00DB1442" w:rsidRDefault="00DB1442" w:rsidP="001B662C">
      <w:pPr>
        <w:pStyle w:val="ListParagraph"/>
        <w:numPr>
          <w:ilvl w:val="2"/>
          <w:numId w:val="10"/>
        </w:numPr>
      </w:pPr>
      <w:r w:rsidRPr="00DB1442">
        <w:t>Ajustar la denominación de subcapítulos para mayor claridad.</w:t>
      </w:r>
    </w:p>
    <w:p w14:paraId="0BE7B3FB" w14:textId="3E0ACCCF" w:rsidR="00DB1442" w:rsidRDefault="00DB1442" w:rsidP="001B662C">
      <w:pPr>
        <w:pStyle w:val="ListParagraph"/>
        <w:numPr>
          <w:ilvl w:val="2"/>
          <w:numId w:val="10"/>
        </w:numPr>
      </w:pPr>
      <w:r w:rsidRPr="00DB1442">
        <w:t>Unir o reorganizar subcapítulos, siempre que se mantenga la coherencia temática.</w:t>
      </w:r>
    </w:p>
    <w:p w14:paraId="00A3F94C" w14:textId="305C7B12" w:rsidR="00FA6093" w:rsidRDefault="00FA6093" w:rsidP="001B662C">
      <w:pPr>
        <w:pStyle w:val="ListParagraph"/>
        <w:numPr>
          <w:ilvl w:val="1"/>
          <w:numId w:val="10"/>
        </w:numPr>
      </w:pPr>
      <w:r w:rsidRPr="00FA6093">
        <w:t>La información debe responder a la lógica del cuatrienio (agosto 2022 – marzo 2026), evitando enfoques exclusivamente anuales o fragmentados.</w:t>
      </w:r>
    </w:p>
    <w:p w14:paraId="2A1B7296" w14:textId="77777777" w:rsidR="002566AB" w:rsidRPr="00DD236D" w:rsidRDefault="002566AB" w:rsidP="001B662C">
      <w:pPr>
        <w:pStyle w:val="ListParagraph"/>
        <w:numPr>
          <w:ilvl w:val="1"/>
          <w:numId w:val="10"/>
        </w:numPr>
        <w:rPr>
          <w:b/>
          <w:bCs/>
        </w:rPr>
      </w:pPr>
      <w:r w:rsidRPr="00DD236D">
        <w:rPr>
          <w:b/>
          <w:bCs/>
        </w:rPr>
        <w:t xml:space="preserve">Anexos: </w:t>
      </w:r>
    </w:p>
    <w:p w14:paraId="7A07BD5B" w14:textId="0EE917E1" w:rsidR="002566AB" w:rsidRDefault="002566AB" w:rsidP="001B662C">
      <w:pPr>
        <w:pStyle w:val="ListParagraph"/>
        <w:numPr>
          <w:ilvl w:val="2"/>
          <w:numId w:val="10"/>
        </w:numPr>
      </w:pPr>
      <w:r>
        <w:t>Los anexos deben ser entregados en formatos editables.</w:t>
      </w:r>
    </w:p>
    <w:p w14:paraId="15F8363C" w14:textId="0C3800E0" w:rsidR="002566AB" w:rsidRDefault="002566AB" w:rsidP="001B662C">
      <w:pPr>
        <w:pStyle w:val="ListParagraph"/>
        <w:numPr>
          <w:ilvl w:val="2"/>
          <w:numId w:val="10"/>
        </w:numPr>
      </w:pPr>
      <w:r>
        <w:t xml:space="preserve">Para información cuantitativa, bases de datos o reportes numéricos </w:t>
      </w:r>
      <w:r w:rsidR="00BD4427">
        <w:t xml:space="preserve">extensos </w:t>
      </w:r>
      <w:r>
        <w:t>se debe utilizar el formato Excel oficial suministrado.</w:t>
      </w:r>
    </w:p>
    <w:p w14:paraId="7638287E" w14:textId="394B62A0" w:rsidR="002566AB" w:rsidRDefault="002566AB" w:rsidP="001B662C">
      <w:pPr>
        <w:pStyle w:val="ListParagraph"/>
        <w:numPr>
          <w:ilvl w:val="2"/>
          <w:numId w:val="10"/>
        </w:numPr>
      </w:pPr>
      <w:r>
        <w:t>Los anexos en Word deben cumplir con la línea gráfica institucional del MME, incluir el logo del Ministerio y estar en tipografía Verdana.</w:t>
      </w:r>
    </w:p>
    <w:p w14:paraId="63765F2F" w14:textId="1C136D71" w:rsidR="002566AB" w:rsidRDefault="002566AB" w:rsidP="001B662C">
      <w:pPr>
        <w:pStyle w:val="ListParagraph"/>
        <w:numPr>
          <w:ilvl w:val="2"/>
          <w:numId w:val="10"/>
        </w:numPr>
      </w:pPr>
      <w:r>
        <w:t>Todo anexo debe contar con título claro, fuente de información y fecha de corte.</w:t>
      </w:r>
    </w:p>
    <w:p w14:paraId="4F2E8030" w14:textId="305A4F4F" w:rsidR="002566AB" w:rsidRDefault="002566AB" w:rsidP="001B662C">
      <w:pPr>
        <w:pStyle w:val="ListParagraph"/>
        <w:numPr>
          <w:ilvl w:val="2"/>
          <w:numId w:val="10"/>
        </w:numPr>
      </w:pPr>
      <w:r>
        <w:t>Los archivos deben tener una nomenclatura clara y estandarizada, evitando nombres genéricos (ej. “versión final”, “anexo 1 definitivo”).</w:t>
      </w:r>
    </w:p>
    <w:p w14:paraId="45F8A3C7" w14:textId="13A15993" w:rsidR="002566AB" w:rsidRDefault="002566AB" w:rsidP="001B662C">
      <w:pPr>
        <w:pStyle w:val="ListParagraph"/>
        <w:numPr>
          <w:ilvl w:val="2"/>
          <w:numId w:val="10"/>
        </w:numPr>
      </w:pPr>
      <w:r>
        <w:t>Cada anexo debe estar referenciado dentro del documento principal.</w:t>
      </w:r>
    </w:p>
    <w:p w14:paraId="6EAFEA2C" w14:textId="2FF62802" w:rsidR="002566AB" w:rsidRDefault="002566AB" w:rsidP="001B662C">
      <w:pPr>
        <w:pStyle w:val="ListParagraph"/>
        <w:numPr>
          <w:ilvl w:val="2"/>
          <w:numId w:val="10"/>
        </w:numPr>
      </w:pPr>
      <w:r>
        <w:t>No se aceptarán anexos únicamente en PDF, salvo cuando correspondan a documentos oficiales o normativos.</w:t>
      </w:r>
    </w:p>
    <w:p w14:paraId="6DB794DD" w14:textId="116992C5" w:rsidR="002566AB" w:rsidRDefault="002566AB" w:rsidP="001B662C">
      <w:pPr>
        <w:pStyle w:val="ListParagraph"/>
        <w:numPr>
          <w:ilvl w:val="2"/>
          <w:numId w:val="10"/>
        </w:numPr>
      </w:pPr>
      <w:r>
        <w:t>La información debe ser coherente con lo reportado en el informe y completamente verificable.</w:t>
      </w:r>
    </w:p>
    <w:p w14:paraId="2A71A76A" w14:textId="77777777" w:rsidR="00C6051B" w:rsidRDefault="00C6051B" w:rsidP="00957A94">
      <w:pPr>
        <w:pStyle w:val="ListParagraph"/>
        <w:numPr>
          <w:ilvl w:val="0"/>
          <w:numId w:val="0"/>
        </w:numPr>
        <w:ind w:left="720"/>
      </w:pPr>
    </w:p>
    <w:p w14:paraId="0961BC64" w14:textId="56417011" w:rsidR="00C6051B" w:rsidRPr="00957A94" w:rsidRDefault="00C6051B" w:rsidP="008C4168">
      <w:pPr>
        <w:pStyle w:val="ListParagraph"/>
        <w:rPr>
          <w:b/>
          <w:bCs/>
        </w:rPr>
      </w:pPr>
      <w:r w:rsidRPr="00957A94">
        <w:rPr>
          <w:b/>
          <w:bCs/>
        </w:rPr>
        <w:t>Uso de tablas</w:t>
      </w:r>
    </w:p>
    <w:p w14:paraId="55ABBD27" w14:textId="01DEB482" w:rsidR="00C6051B" w:rsidRDefault="00C6051B" w:rsidP="001B662C">
      <w:pPr>
        <w:pStyle w:val="ListParagraph"/>
        <w:numPr>
          <w:ilvl w:val="1"/>
          <w:numId w:val="10"/>
        </w:numPr>
      </w:pPr>
      <w:r w:rsidRPr="00C6051B">
        <w:t>Las tablas deben ser claras, legibles y contener información verificable.</w:t>
      </w:r>
    </w:p>
    <w:p w14:paraId="1D13AEDB" w14:textId="77777777" w:rsidR="00F02755" w:rsidRPr="00F02755" w:rsidRDefault="00F02755" w:rsidP="001B662C">
      <w:pPr>
        <w:pStyle w:val="ListParagraph"/>
        <w:numPr>
          <w:ilvl w:val="1"/>
          <w:numId w:val="10"/>
        </w:numPr>
      </w:pPr>
      <w:r w:rsidRPr="00F02755">
        <w:t>Incluir siempre:</w:t>
      </w:r>
    </w:p>
    <w:p w14:paraId="1727B8F0" w14:textId="77777777" w:rsidR="00F02755" w:rsidRPr="00F02755" w:rsidRDefault="00F02755" w:rsidP="001B662C">
      <w:pPr>
        <w:pStyle w:val="ListParagraph"/>
        <w:numPr>
          <w:ilvl w:val="2"/>
          <w:numId w:val="10"/>
        </w:numPr>
      </w:pPr>
      <w:r w:rsidRPr="00F02755">
        <w:t>Título de la tabla</w:t>
      </w:r>
    </w:p>
    <w:p w14:paraId="69EE9D8F" w14:textId="77777777" w:rsidR="00F02755" w:rsidRPr="00F02755" w:rsidRDefault="00F02755" w:rsidP="001B662C">
      <w:pPr>
        <w:pStyle w:val="ListParagraph"/>
        <w:numPr>
          <w:ilvl w:val="2"/>
          <w:numId w:val="10"/>
        </w:numPr>
      </w:pPr>
      <w:r w:rsidRPr="00F02755">
        <w:t>Fuente de la información</w:t>
      </w:r>
    </w:p>
    <w:p w14:paraId="021F7701" w14:textId="77777777" w:rsidR="00F02755" w:rsidRPr="00F02755" w:rsidRDefault="00F02755" w:rsidP="001B662C">
      <w:pPr>
        <w:pStyle w:val="ListParagraph"/>
        <w:numPr>
          <w:ilvl w:val="1"/>
          <w:numId w:val="10"/>
        </w:numPr>
      </w:pPr>
      <w:r w:rsidRPr="00F02755">
        <w:t>Evitar tablas con datos inconsistentes, incompletos o sin contexto.</w:t>
      </w:r>
    </w:p>
    <w:p w14:paraId="40F8A800" w14:textId="0C25251A" w:rsidR="00C6051B" w:rsidRPr="00C6051B" w:rsidRDefault="00F02755" w:rsidP="001B662C">
      <w:pPr>
        <w:pStyle w:val="ListParagraph"/>
        <w:numPr>
          <w:ilvl w:val="1"/>
          <w:numId w:val="10"/>
        </w:numPr>
      </w:pPr>
      <w:r w:rsidRPr="00F02755">
        <w:t>Priorizar comparativos por vigencia dentro del cuatrienio.</w:t>
      </w:r>
    </w:p>
    <w:p w14:paraId="41172526" w14:textId="2F357F9C" w:rsidR="00F92410" w:rsidRPr="009768D3" w:rsidRDefault="00F92410" w:rsidP="0060060B">
      <w:pPr>
        <w:pStyle w:val="Caption"/>
      </w:pPr>
      <w:r w:rsidRPr="009768D3">
        <w:t xml:space="preserve">Tabla </w:t>
      </w:r>
      <w:r w:rsidRPr="009768D3">
        <w:fldChar w:fldCharType="begin"/>
      </w:r>
      <w:r w:rsidRPr="009768D3">
        <w:instrText xml:space="preserve"> SEQ Tabla \* ARABIC </w:instrText>
      </w:r>
      <w:r w:rsidRPr="009768D3">
        <w:fldChar w:fldCharType="separate"/>
      </w:r>
      <w:r w:rsidRPr="009768D3">
        <w:t>1</w:t>
      </w:r>
      <w:r w:rsidRPr="009768D3">
        <w:fldChar w:fldCharType="end"/>
      </w:r>
      <w:r w:rsidRPr="009768D3">
        <w:t>. xxxxx</w:t>
      </w:r>
    </w:p>
    <w:tbl>
      <w:tblPr>
        <w:tblW w:w="7832" w:type="dxa"/>
        <w:jc w:val="center"/>
        <w:tblCellMar>
          <w:left w:w="0" w:type="dxa"/>
          <w:right w:w="0" w:type="dxa"/>
        </w:tblCellMar>
        <w:tblLook w:val="06A0" w:firstRow="1" w:lastRow="0" w:firstColumn="1" w:lastColumn="0" w:noHBand="1" w:noVBand="1"/>
      </w:tblPr>
      <w:tblGrid>
        <w:gridCol w:w="2975"/>
        <w:gridCol w:w="2377"/>
        <w:gridCol w:w="2480"/>
      </w:tblGrid>
      <w:tr w:rsidR="00B57324" w:rsidRPr="00CA2B45" w14:paraId="44E748B5"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D966" w:themeFill="accent4" w:themeFillTint="99"/>
            <w:tcMar>
              <w:top w:w="13" w:type="dxa"/>
              <w:left w:w="13" w:type="dxa"/>
              <w:bottom w:w="0" w:type="dxa"/>
              <w:right w:w="13" w:type="dxa"/>
            </w:tcMar>
            <w:vAlign w:val="center"/>
            <w:hideMark/>
          </w:tcPr>
          <w:p w14:paraId="18944763" w14:textId="78D39681" w:rsidR="00B57324" w:rsidRPr="00CA2B45" w:rsidRDefault="00CA2B45" w:rsidP="00CA2B45">
            <w:pPr>
              <w:pStyle w:val="paragraph"/>
              <w:jc w:val="center"/>
              <w:rPr>
                <w:b/>
                <w:bCs/>
              </w:rPr>
            </w:pPr>
            <w:r w:rsidRPr="00CA2B45">
              <w:rPr>
                <w:b/>
                <w:bCs/>
              </w:rPr>
              <w:t>Concepto</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D966" w:themeFill="accent4" w:themeFillTint="99"/>
            <w:tcMar>
              <w:top w:w="13" w:type="dxa"/>
              <w:left w:w="13" w:type="dxa"/>
              <w:bottom w:w="0" w:type="dxa"/>
              <w:right w:w="13" w:type="dxa"/>
            </w:tcMar>
            <w:vAlign w:val="center"/>
            <w:hideMark/>
          </w:tcPr>
          <w:p w14:paraId="0B836C6C" w14:textId="400EA7B7" w:rsidR="00B57324" w:rsidRPr="00CA2B45" w:rsidRDefault="00CA2B45" w:rsidP="00CA2B45">
            <w:pPr>
              <w:pStyle w:val="paragraph"/>
              <w:jc w:val="center"/>
              <w:rPr>
                <w:b/>
                <w:bCs/>
              </w:rPr>
            </w:pPr>
            <w:r w:rsidRPr="00CA2B45">
              <w:rPr>
                <w:b/>
                <w:bCs/>
              </w:rPr>
              <w:t>Valor Numérico</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FFD966" w:themeFill="accent4" w:themeFillTint="99"/>
            <w:tcMar>
              <w:top w:w="13" w:type="dxa"/>
              <w:left w:w="13" w:type="dxa"/>
              <w:bottom w:w="0" w:type="dxa"/>
              <w:right w:w="13" w:type="dxa"/>
            </w:tcMar>
            <w:vAlign w:val="center"/>
            <w:hideMark/>
          </w:tcPr>
          <w:p w14:paraId="4BE31B57" w14:textId="26A8E275" w:rsidR="00B57324" w:rsidRPr="00CA2B45" w:rsidRDefault="00CA2B45" w:rsidP="00CA2B45">
            <w:pPr>
              <w:pStyle w:val="paragraph"/>
              <w:jc w:val="center"/>
              <w:rPr>
                <w:b/>
                <w:bCs/>
              </w:rPr>
            </w:pPr>
            <w:r w:rsidRPr="00CA2B45">
              <w:rPr>
                <w:b/>
                <w:bCs/>
              </w:rPr>
              <w:t>Ejemplo</w:t>
            </w:r>
          </w:p>
        </w:tc>
      </w:tr>
      <w:tr w:rsidR="00B57324" w:rsidRPr="00AF772E" w14:paraId="520E168F"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BFBFBF" w:themeFill="background1" w:themeFillShade="BF"/>
            <w:tcMar>
              <w:top w:w="13" w:type="dxa"/>
              <w:left w:w="13" w:type="dxa"/>
              <w:bottom w:w="0" w:type="dxa"/>
              <w:right w:w="13" w:type="dxa"/>
            </w:tcMar>
            <w:vAlign w:val="center"/>
            <w:hideMark/>
          </w:tcPr>
          <w:p w14:paraId="77DD2111" w14:textId="1CB90973" w:rsidR="00B57324" w:rsidRPr="00CA2B45" w:rsidRDefault="00CA2B45" w:rsidP="0060060B">
            <w:pPr>
              <w:pStyle w:val="paragraph"/>
              <w:rPr>
                <w:b/>
                <w:bCs/>
              </w:rPr>
            </w:pPr>
            <w:r w:rsidRPr="00CA2B45">
              <w:rPr>
                <w:b/>
                <w:bCs/>
              </w:rPr>
              <w:t>Gastos Ejemplo</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BFBFBF" w:themeFill="background1" w:themeFillShade="BF"/>
            <w:tcMar>
              <w:top w:w="13" w:type="dxa"/>
              <w:left w:w="13" w:type="dxa"/>
              <w:bottom w:w="0" w:type="dxa"/>
              <w:right w:w="13" w:type="dxa"/>
            </w:tcMar>
            <w:vAlign w:val="center"/>
            <w:hideMark/>
          </w:tcPr>
          <w:p w14:paraId="794A76CB" w14:textId="46D90DB9" w:rsidR="00B57324" w:rsidRPr="00AF772E" w:rsidRDefault="00CA2B45" w:rsidP="0060060B">
            <w:pPr>
              <w:pStyle w:val="paragraph"/>
            </w:pPr>
            <w:r w:rsidRPr="00AF772E">
              <w:t>166.340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BFBFBF" w:themeFill="background1" w:themeFillShade="BF"/>
            <w:tcMar>
              <w:top w:w="13" w:type="dxa"/>
              <w:left w:w="13" w:type="dxa"/>
              <w:bottom w:w="0" w:type="dxa"/>
              <w:right w:w="13" w:type="dxa"/>
            </w:tcMar>
            <w:vAlign w:val="center"/>
            <w:hideMark/>
          </w:tcPr>
          <w:p w14:paraId="38BC400F" w14:textId="12C19898" w:rsidR="00B57324" w:rsidRPr="00AF772E" w:rsidRDefault="00CA2B45" w:rsidP="0060060B">
            <w:pPr>
              <w:pStyle w:val="paragraph"/>
            </w:pPr>
            <w:r w:rsidRPr="00AF772E">
              <w:t>157.768</w:t>
            </w:r>
          </w:p>
        </w:tc>
      </w:tr>
      <w:tr w:rsidR="00B57324" w:rsidRPr="00AF772E" w14:paraId="136460BF"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01844964" w14:textId="77777777" w:rsidR="00B57324" w:rsidRPr="00AF772E" w:rsidRDefault="00B57324" w:rsidP="0060060B">
            <w:pPr>
              <w:pStyle w:val="paragraph"/>
            </w:pPr>
            <w:r w:rsidRPr="00AF772E">
              <w:t>Gastos de personal</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4B0021D9" w14:textId="15A9FB41" w:rsidR="00B57324" w:rsidRPr="00AF772E" w:rsidRDefault="00B57324" w:rsidP="0060060B">
            <w:pPr>
              <w:pStyle w:val="paragraph"/>
            </w:pPr>
            <w:r w:rsidRPr="00AF772E">
              <w:t>0000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5F1F553A" w14:textId="77777777" w:rsidR="00B57324" w:rsidRPr="00AF772E" w:rsidRDefault="00B57324" w:rsidP="0060060B">
            <w:pPr>
              <w:pStyle w:val="paragraph"/>
            </w:pPr>
            <w:r w:rsidRPr="00AF772E">
              <w:t>40.026</w:t>
            </w:r>
          </w:p>
        </w:tc>
      </w:tr>
      <w:tr w:rsidR="00B57324" w:rsidRPr="00AF772E" w14:paraId="6476AD25"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0CE02B73" w14:textId="0C22F611" w:rsidR="00B57324" w:rsidRPr="00AF772E" w:rsidRDefault="00B57324" w:rsidP="0060060B">
            <w:pPr>
              <w:pStyle w:val="paragraph"/>
            </w:pPr>
            <w:r w:rsidRPr="00AF772E">
              <w:t>Adquisición de bienes y servicios</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0EEF86C3" w14:textId="45EF985C" w:rsidR="00B57324" w:rsidRPr="00AF772E" w:rsidRDefault="00B57324" w:rsidP="0060060B">
            <w:pPr>
              <w:pStyle w:val="paragraph"/>
            </w:pPr>
            <w:r w:rsidRPr="00AF772E">
              <w:t>25.000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1611B238" w14:textId="2FEDFA2E" w:rsidR="00B57324" w:rsidRPr="00AF772E" w:rsidRDefault="00B57324" w:rsidP="0060060B">
            <w:pPr>
              <w:pStyle w:val="paragraph"/>
            </w:pPr>
            <w:r w:rsidRPr="00AF772E">
              <w:t>0000</w:t>
            </w:r>
          </w:p>
        </w:tc>
      </w:tr>
      <w:tr w:rsidR="00B57324" w:rsidRPr="00AF772E" w14:paraId="61B5DE5D"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37DD5B6E" w14:textId="77777777" w:rsidR="00B57324" w:rsidRPr="00AF772E" w:rsidRDefault="00B57324" w:rsidP="0060060B">
            <w:pPr>
              <w:pStyle w:val="paragraph"/>
            </w:pPr>
            <w:r w:rsidRPr="00AF772E">
              <w:t>Transferencias corrientes</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42094F85" w14:textId="77777777" w:rsidR="00B57324" w:rsidRPr="00AF772E" w:rsidRDefault="00B57324" w:rsidP="0060060B">
            <w:pPr>
              <w:pStyle w:val="paragraph"/>
            </w:pPr>
            <w:r w:rsidRPr="00AF772E">
              <w:t>98.180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7A3C82DF" w14:textId="77777777" w:rsidR="00B57324" w:rsidRPr="00AF772E" w:rsidRDefault="00B57324" w:rsidP="0060060B">
            <w:pPr>
              <w:pStyle w:val="paragraph"/>
            </w:pPr>
            <w:r w:rsidRPr="00AF772E">
              <w:t>93.032</w:t>
            </w:r>
          </w:p>
        </w:tc>
      </w:tr>
      <w:tr w:rsidR="00B57324" w:rsidRPr="00AF772E" w14:paraId="60C7D09B"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19207087" w14:textId="77777777" w:rsidR="00B57324" w:rsidRPr="00AF772E" w:rsidRDefault="00B57324" w:rsidP="0060060B">
            <w:pPr>
              <w:pStyle w:val="paragraph"/>
            </w:pPr>
            <w:r w:rsidRPr="00AF772E">
              <w:t>Gastos por tributos y multas sanciones e intereses de mora</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0C899D40" w14:textId="77777777" w:rsidR="00B57324" w:rsidRPr="00AF772E" w:rsidRDefault="00B57324" w:rsidP="0060060B">
            <w:pPr>
              <w:pStyle w:val="paragraph"/>
            </w:pPr>
            <w:r w:rsidRPr="00AF772E">
              <w:t>13.859</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tcMar>
              <w:top w:w="13" w:type="dxa"/>
              <w:left w:w="13" w:type="dxa"/>
              <w:bottom w:w="0" w:type="dxa"/>
              <w:right w:w="13" w:type="dxa"/>
            </w:tcMar>
            <w:vAlign w:val="center"/>
            <w:hideMark/>
          </w:tcPr>
          <w:p w14:paraId="16624831" w14:textId="77777777" w:rsidR="00B57324" w:rsidRPr="00AF772E" w:rsidRDefault="00B57324" w:rsidP="0060060B">
            <w:pPr>
              <w:pStyle w:val="paragraph"/>
            </w:pPr>
            <w:r w:rsidRPr="00AF772E">
              <w:t>13.854</w:t>
            </w:r>
          </w:p>
        </w:tc>
      </w:tr>
      <w:tr w:rsidR="00B57324" w:rsidRPr="00AF772E" w14:paraId="6C7E2E98"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6C9ABD9F" w14:textId="6453C6B3" w:rsidR="00B57324" w:rsidRPr="00CA2B45" w:rsidRDefault="00B57324" w:rsidP="0060060B">
            <w:pPr>
              <w:pStyle w:val="paragraph"/>
              <w:rPr>
                <w:b/>
                <w:bCs/>
              </w:rPr>
            </w:pPr>
            <w:r w:rsidRPr="00CA2B45">
              <w:rPr>
                <w:b/>
                <w:bCs/>
              </w:rPr>
              <w:t>Información ejemplo</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07696B82" w14:textId="7C8E51AF" w:rsidR="00B57324" w:rsidRPr="00AF772E" w:rsidRDefault="00B57324" w:rsidP="0060060B">
            <w:pPr>
              <w:pStyle w:val="paragraph"/>
            </w:pPr>
            <w:r w:rsidRPr="00AF772E">
              <w:t>00000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724E1FAF" w14:textId="77777777" w:rsidR="00B57324" w:rsidRPr="00AF772E" w:rsidRDefault="00B57324" w:rsidP="0060060B">
            <w:pPr>
              <w:pStyle w:val="paragraph"/>
            </w:pPr>
            <w:r w:rsidRPr="00AF772E">
              <w:t>3.460</w:t>
            </w:r>
          </w:p>
        </w:tc>
      </w:tr>
      <w:tr w:rsidR="00B57324" w:rsidRPr="00AF772E" w14:paraId="1EE1B546"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3FCE72A2" w14:textId="13E163EE" w:rsidR="00B57324" w:rsidRPr="00CA2B45" w:rsidRDefault="00B57324" w:rsidP="0060060B">
            <w:pPr>
              <w:pStyle w:val="paragraph"/>
              <w:rPr>
                <w:b/>
                <w:bCs/>
              </w:rPr>
            </w:pPr>
            <w:r w:rsidRPr="00CA2B45">
              <w:rPr>
                <w:b/>
                <w:bCs/>
              </w:rPr>
              <w:t>Gastos de inversión</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6E107C9A" w14:textId="77777777" w:rsidR="00B57324" w:rsidRPr="00AF772E" w:rsidRDefault="00B57324" w:rsidP="0060060B">
            <w:pPr>
              <w:pStyle w:val="paragraph"/>
            </w:pPr>
            <w:r w:rsidRPr="00AF772E">
              <w:t>6.640.591</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9D9D9" w:themeFill="background1" w:themeFillShade="D9"/>
            <w:tcMar>
              <w:top w:w="13" w:type="dxa"/>
              <w:left w:w="13" w:type="dxa"/>
              <w:bottom w:w="0" w:type="dxa"/>
              <w:right w:w="13" w:type="dxa"/>
            </w:tcMar>
            <w:vAlign w:val="center"/>
            <w:hideMark/>
          </w:tcPr>
          <w:p w14:paraId="6A8F5B8D" w14:textId="77777777" w:rsidR="00B57324" w:rsidRPr="00AF772E" w:rsidRDefault="00B57324" w:rsidP="0060060B">
            <w:pPr>
              <w:pStyle w:val="paragraph"/>
            </w:pPr>
            <w:r w:rsidRPr="00AF772E">
              <w:t>6.454.144</w:t>
            </w:r>
          </w:p>
        </w:tc>
      </w:tr>
      <w:tr w:rsidR="00B57324" w:rsidRPr="00AF772E" w14:paraId="0E92EA4F" w14:textId="77777777" w:rsidTr="00CA2B45">
        <w:trPr>
          <w:trHeight w:val="20"/>
          <w:jc w:val="center"/>
        </w:trPr>
        <w:tc>
          <w:tcPr>
            <w:tcW w:w="2975"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0CECE" w:themeFill="background2" w:themeFillShade="E6"/>
            <w:tcMar>
              <w:top w:w="13" w:type="dxa"/>
              <w:left w:w="13" w:type="dxa"/>
              <w:bottom w:w="0" w:type="dxa"/>
              <w:right w:w="13" w:type="dxa"/>
            </w:tcMar>
            <w:vAlign w:val="center"/>
            <w:hideMark/>
          </w:tcPr>
          <w:p w14:paraId="53F3F3ED" w14:textId="4CF44A97" w:rsidR="00B57324" w:rsidRPr="00CA2B45" w:rsidRDefault="00CA2B45" w:rsidP="0060060B">
            <w:pPr>
              <w:pStyle w:val="paragraph"/>
              <w:rPr>
                <w:b/>
                <w:bCs/>
              </w:rPr>
            </w:pPr>
            <w:r w:rsidRPr="00CA2B45">
              <w:rPr>
                <w:b/>
                <w:bCs/>
              </w:rPr>
              <w:t>Gran Total</w:t>
            </w:r>
          </w:p>
        </w:tc>
        <w:tc>
          <w:tcPr>
            <w:tcW w:w="2377"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0CECE" w:themeFill="background2" w:themeFillShade="E6"/>
            <w:tcMar>
              <w:top w:w="13" w:type="dxa"/>
              <w:left w:w="13" w:type="dxa"/>
              <w:bottom w:w="0" w:type="dxa"/>
              <w:right w:w="13" w:type="dxa"/>
            </w:tcMar>
            <w:vAlign w:val="center"/>
            <w:hideMark/>
          </w:tcPr>
          <w:p w14:paraId="50E1BF76" w14:textId="3934D7B7" w:rsidR="00B57324" w:rsidRPr="00AF772E" w:rsidRDefault="00CA2B45" w:rsidP="0060060B">
            <w:pPr>
              <w:pStyle w:val="paragraph"/>
            </w:pPr>
            <w:r w:rsidRPr="00AF772E">
              <w:t>00000000</w:t>
            </w:r>
          </w:p>
        </w:tc>
        <w:tc>
          <w:tcPr>
            <w:tcW w:w="2480" w:type="dxa"/>
            <w:tc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tcBorders>
            <w:shd w:val="clear" w:color="auto" w:fill="D0CECE" w:themeFill="background2" w:themeFillShade="E6"/>
            <w:tcMar>
              <w:top w:w="13" w:type="dxa"/>
              <w:left w:w="13" w:type="dxa"/>
              <w:bottom w:w="0" w:type="dxa"/>
              <w:right w:w="13" w:type="dxa"/>
            </w:tcMar>
            <w:vAlign w:val="center"/>
            <w:hideMark/>
          </w:tcPr>
          <w:p w14:paraId="7F7AEF13" w14:textId="46933846" w:rsidR="00B57324" w:rsidRPr="00AF772E" w:rsidRDefault="00CA2B45" w:rsidP="0060060B">
            <w:pPr>
              <w:pStyle w:val="paragraph"/>
            </w:pPr>
            <w:r w:rsidRPr="00AF772E">
              <w:t>6.615.372</w:t>
            </w:r>
          </w:p>
        </w:tc>
      </w:tr>
    </w:tbl>
    <w:p w14:paraId="264C0CE2" w14:textId="77777777" w:rsidR="00AF772E" w:rsidRPr="00AF772E" w:rsidRDefault="00AF772E" w:rsidP="00EA317A">
      <w:pPr>
        <w:pStyle w:val="Fuente"/>
      </w:pPr>
      <w:r w:rsidRPr="00AF772E">
        <w:t>Fuente:</w:t>
      </w:r>
    </w:p>
    <w:p w14:paraId="588227B9" w14:textId="7578E152" w:rsidR="00F92410" w:rsidRPr="00957A94" w:rsidRDefault="00AF772E" w:rsidP="008C4168">
      <w:pPr>
        <w:pStyle w:val="ListParagraph"/>
        <w:rPr>
          <w:b/>
          <w:bCs/>
        </w:rPr>
      </w:pPr>
      <w:r w:rsidRPr="00957A94">
        <w:rPr>
          <w:b/>
          <w:bCs/>
        </w:rPr>
        <w:t>Uso de gráficos</w:t>
      </w:r>
    </w:p>
    <w:p w14:paraId="1BFBC8D7" w14:textId="77777777" w:rsidR="009768D3" w:rsidRPr="009768D3" w:rsidRDefault="009768D3" w:rsidP="001B662C">
      <w:pPr>
        <w:pStyle w:val="ListParagraph"/>
        <w:numPr>
          <w:ilvl w:val="1"/>
          <w:numId w:val="10"/>
        </w:numPr>
      </w:pPr>
      <w:r w:rsidRPr="009768D3">
        <w:t>Los gráficos deben facilitar la comprensión de la información.</w:t>
      </w:r>
    </w:p>
    <w:p w14:paraId="2554AD22" w14:textId="77777777" w:rsidR="009768D3" w:rsidRPr="009768D3" w:rsidRDefault="009768D3" w:rsidP="001B662C">
      <w:pPr>
        <w:pStyle w:val="ListParagraph"/>
        <w:numPr>
          <w:ilvl w:val="1"/>
          <w:numId w:val="10"/>
        </w:numPr>
      </w:pPr>
      <w:r w:rsidRPr="009768D3">
        <w:t>Deben incluir:</w:t>
      </w:r>
    </w:p>
    <w:p w14:paraId="3C82C0B3" w14:textId="77777777" w:rsidR="009768D3" w:rsidRPr="009768D3" w:rsidRDefault="009768D3" w:rsidP="001B662C">
      <w:pPr>
        <w:pStyle w:val="ListParagraph"/>
        <w:numPr>
          <w:ilvl w:val="2"/>
          <w:numId w:val="10"/>
        </w:numPr>
      </w:pPr>
      <w:r w:rsidRPr="009768D3">
        <w:t>Título</w:t>
      </w:r>
    </w:p>
    <w:p w14:paraId="7F277A93" w14:textId="77777777" w:rsidR="009768D3" w:rsidRPr="009768D3" w:rsidRDefault="009768D3" w:rsidP="001B662C">
      <w:pPr>
        <w:pStyle w:val="ListParagraph"/>
        <w:numPr>
          <w:ilvl w:val="2"/>
          <w:numId w:val="10"/>
        </w:numPr>
        <w:rPr>
          <w:b/>
          <w:bCs/>
        </w:rPr>
      </w:pPr>
      <w:r w:rsidRPr="009768D3">
        <w:t>Fuente</w:t>
      </w:r>
    </w:p>
    <w:p w14:paraId="1BAF0576" w14:textId="28965AA8" w:rsidR="009768D3" w:rsidRPr="009768D3" w:rsidRDefault="009768D3" w:rsidP="001B662C">
      <w:pPr>
        <w:pStyle w:val="ListParagraph"/>
        <w:numPr>
          <w:ilvl w:val="1"/>
          <w:numId w:val="10"/>
        </w:numPr>
      </w:pPr>
      <w:r w:rsidRPr="009768D3">
        <w:t>Utilizar únicamente cuando aporten valor analítico (no decorativo).</w:t>
      </w:r>
    </w:p>
    <w:p w14:paraId="5C199F25" w14:textId="560F5A96" w:rsidR="009768D3" w:rsidRDefault="009768D3" w:rsidP="0060060B">
      <w:pPr>
        <w:pStyle w:val="Caption"/>
      </w:pPr>
      <w:r>
        <w:t xml:space="preserve">Gráfico </w:t>
      </w:r>
      <w:r>
        <w:fldChar w:fldCharType="begin"/>
      </w:r>
      <w:r>
        <w:instrText xml:space="preserve"> SEQ Gráfico \* ARABIC </w:instrText>
      </w:r>
      <w:r>
        <w:fldChar w:fldCharType="separate"/>
      </w:r>
      <w:r>
        <w:rPr>
          <w:noProof/>
        </w:rPr>
        <w:t>1</w:t>
      </w:r>
      <w:r>
        <w:fldChar w:fldCharType="end"/>
      </w:r>
      <w:r>
        <w:t>. XXXXX</w:t>
      </w:r>
    </w:p>
    <w:p w14:paraId="35EDDFD0" w14:textId="77777777" w:rsidR="009276BD" w:rsidRPr="004A2840" w:rsidRDefault="004A3725" w:rsidP="008C4168">
      <w:pPr>
        <w:jc w:val="center"/>
        <w:rPr>
          <w:sz w:val="28"/>
          <w:szCs w:val="28"/>
        </w:rPr>
      </w:pPr>
      <w:r w:rsidRPr="004A2840">
        <w:rPr>
          <w:noProof/>
        </w:rPr>
        <w:drawing>
          <wp:inline distT="0" distB="0" distL="0" distR="0" wp14:anchorId="643F2B01" wp14:editId="25E1F8EC">
            <wp:extent cx="4345423" cy="2031101"/>
            <wp:effectExtent l="0" t="0" r="0" b="7620"/>
            <wp:docPr id="131112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FD94806" w14:textId="48531936" w:rsidR="00897FF6" w:rsidRDefault="00897FF6" w:rsidP="00EA317A">
      <w:pPr>
        <w:pStyle w:val="Fuente"/>
      </w:pPr>
      <w:r w:rsidRPr="009768D3">
        <w:t>Fuente:</w:t>
      </w:r>
    </w:p>
    <w:p w14:paraId="74809FFB" w14:textId="77777777" w:rsidR="008C4168" w:rsidRPr="00957A94" w:rsidRDefault="00ED5FD9" w:rsidP="00957A94">
      <w:pPr>
        <w:pStyle w:val="ListParagraph"/>
        <w:keepNext/>
        <w:ind w:left="714" w:hanging="357"/>
        <w:rPr>
          <w:b/>
          <w:bCs/>
        </w:rPr>
      </w:pPr>
      <w:r w:rsidRPr="00957A94">
        <w:rPr>
          <w:b/>
          <w:bCs/>
        </w:rPr>
        <w:t>Lineamientos de forma</w:t>
      </w:r>
    </w:p>
    <w:p w14:paraId="7022EE42" w14:textId="17B719C1" w:rsidR="008C4168" w:rsidRDefault="00ED5FD9" w:rsidP="001B662C">
      <w:pPr>
        <w:pStyle w:val="ListParagraph"/>
        <w:numPr>
          <w:ilvl w:val="1"/>
          <w:numId w:val="10"/>
        </w:numPr>
      </w:pPr>
      <w:r w:rsidRPr="008C4168">
        <w:rPr>
          <w:b/>
          <w:bCs/>
        </w:rPr>
        <w:t>Tipografía:</w:t>
      </w:r>
      <w:r w:rsidRPr="004A2840">
        <w:t xml:space="preserve"> </w:t>
      </w:r>
      <w:r w:rsidR="000C08E8" w:rsidRPr="000C08E8">
        <w:t>Se debe mantener uniformidad en estilos y jerarquías de texto conforme a la siguiente estructura:</w:t>
      </w:r>
    </w:p>
    <w:p w14:paraId="382AC21C" w14:textId="62F2ACE9" w:rsidR="000C08E8" w:rsidRDefault="000C08E8" w:rsidP="001B662C">
      <w:pPr>
        <w:pStyle w:val="ListParagraph"/>
        <w:numPr>
          <w:ilvl w:val="2"/>
          <w:numId w:val="10"/>
        </w:numPr>
      </w:pPr>
      <w:r w:rsidRPr="000C08E8">
        <w:rPr>
          <w:b/>
          <w:bCs/>
        </w:rPr>
        <w:t>Título del capítulo:</w:t>
      </w:r>
      <w:r>
        <w:t xml:space="preserve"> Verdana – 16 pt – negrilla – color #FFC000 </w:t>
      </w:r>
    </w:p>
    <w:p w14:paraId="5CC82151" w14:textId="0177A95A" w:rsidR="000C08E8" w:rsidRPr="000C08E8" w:rsidRDefault="000C08E8" w:rsidP="001B662C">
      <w:pPr>
        <w:pStyle w:val="ListParagraph"/>
        <w:numPr>
          <w:ilvl w:val="2"/>
          <w:numId w:val="10"/>
        </w:numPr>
        <w:rPr>
          <w:b/>
          <w:bCs/>
        </w:rPr>
      </w:pPr>
      <w:r w:rsidRPr="000C08E8">
        <w:rPr>
          <w:b/>
          <w:bCs/>
        </w:rPr>
        <w:t>Subtítulo nivel 1:</w:t>
      </w:r>
      <w:r>
        <w:rPr>
          <w:b/>
          <w:bCs/>
        </w:rPr>
        <w:t xml:space="preserve"> </w:t>
      </w:r>
      <w:r>
        <w:t xml:space="preserve">Verdana – 14 pt – color #4472C4 </w:t>
      </w:r>
    </w:p>
    <w:p w14:paraId="650368A9" w14:textId="1A417F7E" w:rsidR="000C08E8" w:rsidRPr="000C08E8" w:rsidRDefault="000C08E8" w:rsidP="001B662C">
      <w:pPr>
        <w:pStyle w:val="ListParagraph"/>
        <w:numPr>
          <w:ilvl w:val="2"/>
          <w:numId w:val="10"/>
        </w:numPr>
        <w:rPr>
          <w:b/>
          <w:bCs/>
        </w:rPr>
      </w:pPr>
      <w:r w:rsidRPr="000C08E8">
        <w:rPr>
          <w:b/>
          <w:bCs/>
        </w:rPr>
        <w:t>Subtítulos nivel 2, 3, etc.:</w:t>
      </w:r>
      <w:r>
        <w:rPr>
          <w:b/>
          <w:bCs/>
        </w:rPr>
        <w:t xml:space="preserve"> </w:t>
      </w:r>
      <w:r>
        <w:t xml:space="preserve">Verdana – 13 pt – color #E7E6E6 </w:t>
      </w:r>
    </w:p>
    <w:p w14:paraId="11FF2377" w14:textId="3B4C680F" w:rsidR="000C08E8" w:rsidRPr="000C08E8" w:rsidRDefault="000C08E8" w:rsidP="001B662C">
      <w:pPr>
        <w:pStyle w:val="ListParagraph"/>
        <w:numPr>
          <w:ilvl w:val="2"/>
          <w:numId w:val="10"/>
        </w:numPr>
        <w:rPr>
          <w:b/>
          <w:bCs/>
        </w:rPr>
      </w:pPr>
      <w:r w:rsidRPr="000C08E8">
        <w:rPr>
          <w:b/>
          <w:bCs/>
        </w:rPr>
        <w:t>Texto del cuerpo:</w:t>
      </w:r>
      <w:r>
        <w:rPr>
          <w:b/>
          <w:bCs/>
        </w:rPr>
        <w:t xml:space="preserve"> </w:t>
      </w:r>
      <w:r>
        <w:t xml:space="preserve">Verdana – 11 pt – color #000000 </w:t>
      </w:r>
    </w:p>
    <w:p w14:paraId="1C13EC56" w14:textId="50041C65" w:rsidR="000C08E8" w:rsidRPr="000C08E8" w:rsidRDefault="000C08E8" w:rsidP="001B662C">
      <w:pPr>
        <w:pStyle w:val="ListParagraph"/>
        <w:numPr>
          <w:ilvl w:val="2"/>
          <w:numId w:val="10"/>
        </w:numPr>
        <w:rPr>
          <w:b/>
          <w:bCs/>
        </w:rPr>
      </w:pPr>
      <w:r w:rsidRPr="000C08E8">
        <w:rPr>
          <w:b/>
          <w:bCs/>
        </w:rPr>
        <w:t>Títulos de tablas o gráficas:</w:t>
      </w:r>
      <w:r>
        <w:rPr>
          <w:b/>
          <w:bCs/>
        </w:rPr>
        <w:t xml:space="preserve"> </w:t>
      </w:r>
      <w:r>
        <w:t xml:space="preserve">Verdana – 9 pt – negrilla – color #44546A </w:t>
      </w:r>
    </w:p>
    <w:p w14:paraId="188C00FF" w14:textId="12829564" w:rsidR="000C08E8" w:rsidRDefault="000C08E8" w:rsidP="001B662C">
      <w:pPr>
        <w:pStyle w:val="ListParagraph"/>
        <w:numPr>
          <w:ilvl w:val="2"/>
          <w:numId w:val="10"/>
        </w:numPr>
      </w:pPr>
      <w:r w:rsidRPr="005529E4">
        <w:rPr>
          <w:b/>
          <w:bCs/>
        </w:rPr>
        <w:t>Fuentes (de tablas y gráficas)</w:t>
      </w:r>
      <w:r>
        <w:t>:</w:t>
      </w:r>
      <w:r w:rsidR="005529E4">
        <w:t xml:space="preserve"> </w:t>
      </w:r>
      <w:r>
        <w:t xml:space="preserve">Verdana – 9 pt – color #000000 </w:t>
      </w:r>
    </w:p>
    <w:p w14:paraId="1905A2B0" w14:textId="5DD673E6" w:rsidR="000C08E8" w:rsidRDefault="000C08E8" w:rsidP="005529E4">
      <w:pPr>
        <w:ind w:left="1800"/>
      </w:pPr>
      <w:r>
        <w:t>Es obligatorio respetar esta jerarquía para garantizar la estandarización y correcta lectura del documento.</w:t>
      </w:r>
    </w:p>
    <w:p w14:paraId="7C0CDF3F" w14:textId="5108232D" w:rsidR="00ED5FD9" w:rsidRPr="008C4168" w:rsidRDefault="00ED5FD9" w:rsidP="001B662C">
      <w:pPr>
        <w:pStyle w:val="ListParagraph"/>
        <w:numPr>
          <w:ilvl w:val="1"/>
          <w:numId w:val="10"/>
        </w:numPr>
      </w:pPr>
      <w:r w:rsidRPr="008C4168">
        <w:rPr>
          <w:rFonts w:cs="Arial"/>
          <w:b/>
          <w:bCs/>
        </w:rPr>
        <w:t>Fotografías disponibles por sector:</w:t>
      </w:r>
      <w:r w:rsidRPr="008C4168">
        <w:rPr>
          <w:rFonts w:cs="Arial"/>
        </w:rPr>
        <w:t xml:space="preserve"> </w:t>
      </w:r>
      <w:hyperlink r:id="rId13" w:history="1">
        <w:r w:rsidR="00957A94" w:rsidRPr="00A30E8D">
          <w:rPr>
            <w:rStyle w:val="Hyperlink"/>
            <w:rFonts w:cs="Arial"/>
            <w:sz w:val="24"/>
            <w:szCs w:val="24"/>
          </w:rPr>
          <w:t>https://minenergiacol-my.sharepoint.com/:f:/g/personal/iforozco_minenergia_gov_co/IgAFA7B8xC10T6PnYuGlz-5UAXbBmQdfFGe4cpg1s3mAPkU?e=PCwNRm</w:t>
        </w:r>
      </w:hyperlink>
      <w:r w:rsidRPr="008C4168">
        <w:rPr>
          <w:rFonts w:cs="Arial"/>
        </w:rPr>
        <w:t xml:space="preserve"> </w:t>
      </w:r>
    </w:p>
    <w:p w14:paraId="14DD7EBB" w14:textId="77777777" w:rsidR="00ED5FD9" w:rsidRPr="004A2840" w:rsidRDefault="00ED5FD9" w:rsidP="001B662C">
      <w:pPr>
        <w:pStyle w:val="ListParagraph"/>
        <w:numPr>
          <w:ilvl w:val="2"/>
          <w:numId w:val="10"/>
        </w:numPr>
      </w:pPr>
      <w:r w:rsidRPr="004A2840">
        <w:t>No recortar ni deformar las imágenes.</w:t>
      </w:r>
    </w:p>
    <w:p w14:paraId="105395BE" w14:textId="77777777" w:rsidR="00ED5FD9" w:rsidRPr="004A2840" w:rsidRDefault="00ED5FD9" w:rsidP="001B662C">
      <w:pPr>
        <w:pStyle w:val="ListParagraph"/>
        <w:numPr>
          <w:ilvl w:val="2"/>
          <w:numId w:val="10"/>
        </w:numPr>
      </w:pPr>
      <w:r w:rsidRPr="004A2840">
        <w:t>Ajustar el tamaño únicamente desde las esquinas.</w:t>
      </w:r>
    </w:p>
    <w:p w14:paraId="71A44A46" w14:textId="77777777" w:rsidR="00ED5FD9" w:rsidRPr="004A2840" w:rsidRDefault="00ED5FD9" w:rsidP="001B662C">
      <w:pPr>
        <w:pStyle w:val="ListParagraph"/>
        <w:numPr>
          <w:ilvl w:val="2"/>
          <w:numId w:val="10"/>
        </w:numPr>
        <w:rPr>
          <w:rFonts w:cs="Arial"/>
        </w:rPr>
      </w:pPr>
      <w:r w:rsidRPr="004A2840">
        <w:t>Usar imágenes pertinentes y con sentido institucional.</w:t>
      </w:r>
    </w:p>
    <w:p w14:paraId="177D87C7" w14:textId="77777777" w:rsidR="00ED5FD9" w:rsidRDefault="00ED5FD9" w:rsidP="0060060B"/>
    <w:p w14:paraId="2BD74377" w14:textId="77777777" w:rsidR="004D55E6" w:rsidRPr="009768D3" w:rsidRDefault="004D55E6" w:rsidP="0060060B"/>
    <w:p w14:paraId="52000811" w14:textId="7D878BB8" w:rsidR="3843AE37" w:rsidRPr="004A2840" w:rsidRDefault="3843AE37" w:rsidP="0060060B"/>
    <w:p w14:paraId="6B8D493E" w14:textId="2EF5AB5E" w:rsidR="3843AE37" w:rsidRPr="004A2840" w:rsidRDefault="3843AE37" w:rsidP="0060060B"/>
    <w:p w14:paraId="7F5E31F2" w14:textId="29D354FA" w:rsidR="00DA5865" w:rsidRPr="004A2840" w:rsidRDefault="00DA5865" w:rsidP="0060060B">
      <w:r w:rsidRPr="004A2840">
        <w:br w:type="page"/>
      </w:r>
    </w:p>
    <w:p w14:paraId="6AB6844E" w14:textId="30853E57" w:rsidR="00BB7AC3" w:rsidRPr="004A2840" w:rsidRDefault="00BB7AC3" w:rsidP="0060060B">
      <w:pPr>
        <w:pStyle w:val="Heading1"/>
      </w:pPr>
      <w:r w:rsidRPr="004A2840">
        <w:t>Introducción</w:t>
      </w:r>
    </w:p>
    <w:p w14:paraId="7FF01786" w14:textId="5D9A8CC5" w:rsidR="002B2A32" w:rsidRPr="004A2840" w:rsidRDefault="002B2A32" w:rsidP="0060060B">
      <w:r w:rsidRPr="004A2840">
        <w:t>Desarrolle una presentación general del informe indicando claramente que corresponde al cuatrienio comprendido entre agosto de 2022 y marzo de 2026. Incluya el propósito del documento, su alcance (qué incluye y qué no), y el contexto institucional y sectorial. Señale la alineación de la gestión con el Plan Nacional de Desarrollo y las principales políticas del Gobierno durante este periodo. Es importante dejar claro el corte de información y advertir, cuando aplique, que algunos procesos continúan en ejecución.</w:t>
      </w:r>
    </w:p>
    <w:p w14:paraId="0D17558F" w14:textId="77777777" w:rsidR="002B2A32" w:rsidRPr="004A2840" w:rsidRDefault="002B2A32" w:rsidP="0060060B">
      <w:r w:rsidRPr="004A2840">
        <w:br w:type="page"/>
      </w:r>
    </w:p>
    <w:p w14:paraId="76FEA2BD" w14:textId="0EA16905" w:rsidR="00BB7AC3" w:rsidRPr="004A2840" w:rsidRDefault="00BB7AC3" w:rsidP="0060060B">
      <w:pPr>
        <w:pStyle w:val="Heading1"/>
      </w:pPr>
      <w:r w:rsidRPr="004A2840">
        <w:t>Nuestro Direccionamiento estratégico</w:t>
      </w:r>
    </w:p>
    <w:p w14:paraId="00534711" w14:textId="079C7C68" w:rsidR="005E04C3" w:rsidRPr="004A2840" w:rsidRDefault="002A5BDB" w:rsidP="0060060B">
      <w:r w:rsidRPr="004A2840">
        <w:t>Explique cómo se orientó la gestión del Ministerio durante el cuatrienio 2022–2026 (corte marzo 2026), evidenciando la articulación entre los distintos instrumentos de planeación y su contribución a los resultados alcanzados en este periodo.</w:t>
      </w:r>
    </w:p>
    <w:p w14:paraId="4DC725E6" w14:textId="261AF5EE" w:rsidR="00AB6040" w:rsidRPr="00A06935" w:rsidRDefault="00AB6040" w:rsidP="0060060B">
      <w:pPr>
        <w:pStyle w:val="Heading2"/>
      </w:pPr>
      <w:r w:rsidRPr="00A06935">
        <w:t xml:space="preserve">Planeación Estratégica Sectorial 2022 </w:t>
      </w:r>
      <w:r w:rsidR="002A5BDB" w:rsidRPr="00A06935">
        <w:t>–</w:t>
      </w:r>
      <w:r w:rsidRPr="00A06935">
        <w:t xml:space="preserve"> 2026</w:t>
      </w:r>
    </w:p>
    <w:p w14:paraId="2E62C237" w14:textId="45394090" w:rsidR="002A5BDB" w:rsidRPr="004A2840" w:rsidRDefault="002A5BDB" w:rsidP="0060060B">
      <w:r w:rsidRPr="004A2840">
        <w:t>Describa los lineamientos estratégicos del sector definidos para el cuatrienio, sus principales objetivos y apuestas. Explique cómo estos orientaron la gestión sectorial entre agosto de 2022 y marzo de 2026.</w:t>
      </w:r>
    </w:p>
    <w:p w14:paraId="6C05DA4B" w14:textId="63D9B941" w:rsidR="00AB6040" w:rsidRPr="004A2840" w:rsidRDefault="00AB6040" w:rsidP="0060060B">
      <w:pPr>
        <w:pStyle w:val="Heading2"/>
      </w:pPr>
      <w:r w:rsidRPr="004A2840">
        <w:t xml:space="preserve">Plan Estratégica Institucional 2022 </w:t>
      </w:r>
      <w:r w:rsidR="002A5BDB" w:rsidRPr="004A2840">
        <w:t>–</w:t>
      </w:r>
      <w:r w:rsidRPr="004A2840">
        <w:t xml:space="preserve"> 2026</w:t>
      </w:r>
    </w:p>
    <w:p w14:paraId="72D0CC2E" w14:textId="69C97E29" w:rsidR="002A5BDB" w:rsidRPr="004A2840" w:rsidRDefault="009C6715" w:rsidP="0060060B">
      <w:r w:rsidRPr="004A2840">
        <w:t>Explique los objetivos estratégicos institucionales y cómo se implementaron durante el cuatrienio. Relacione estos objetivos con los resultados alcanzados en el periodo.</w:t>
      </w:r>
    </w:p>
    <w:p w14:paraId="3794651C" w14:textId="12097A03" w:rsidR="00AB6040" w:rsidRPr="004A2840" w:rsidRDefault="00AB6040" w:rsidP="0060060B">
      <w:pPr>
        <w:pStyle w:val="Heading2"/>
      </w:pPr>
      <w:r w:rsidRPr="004A2840">
        <w:t>Planeación Anual Institucional (incluye Plan de Acción y estado general de los planes institucionales al finalizar el cuatrienio</w:t>
      </w:r>
    </w:p>
    <w:p w14:paraId="1B865237" w14:textId="0D6505B4" w:rsidR="009C6715" w:rsidRPr="004A2840" w:rsidRDefault="009C6715" w:rsidP="0060060B">
      <w:r w:rsidRPr="004A2840">
        <w:t>Describa la ejecución de los planes de acción de cada vigencia del cuatrienio, presentando un balance acumulado de su implementación con corte a marzo de 2026. Destaque tendencias, avances y rezagos.</w:t>
      </w:r>
    </w:p>
    <w:p w14:paraId="4A79A1A9" w14:textId="29C624AC" w:rsidR="00A72FA7" w:rsidRPr="004A2840" w:rsidRDefault="00AB6040" w:rsidP="0060060B">
      <w:pPr>
        <w:pStyle w:val="Heading2"/>
      </w:pPr>
      <w:r w:rsidRPr="004A2840">
        <w:t>Nuestros Logros (resultados en términos del aporte a las metas del PND y logros estratégicos del MME)</w:t>
      </w:r>
    </w:p>
    <w:p w14:paraId="55035300" w14:textId="00F75FC2" w:rsidR="009C6715" w:rsidRPr="004A2840" w:rsidRDefault="008B5BBC" w:rsidP="0060060B">
      <w:r w:rsidRPr="004A2840">
        <w:t>Presente los principales resultados alcanzados durante el cuatrienio agosto 2022 – marzo 2026, evidenciando su contribución a las metas del Plan Nacional de Desarrollo. Priorice logros estructurales y resultados acumulados sobre actividades puntuales, incluyendo datos verificables y comparativos cuando sea posible.</w:t>
      </w:r>
    </w:p>
    <w:p w14:paraId="24BDFB6A" w14:textId="535E5C44" w:rsidR="00BB7AC3" w:rsidRPr="004A2840" w:rsidRDefault="00BB7AC3" w:rsidP="0060060B">
      <w:pPr>
        <w:pStyle w:val="Heading1"/>
      </w:pPr>
      <w:r w:rsidRPr="004A2840">
        <w:t>Nuestros Colaboradores</w:t>
      </w:r>
    </w:p>
    <w:p w14:paraId="39763733" w14:textId="54D6B431" w:rsidR="008B5BBC" w:rsidRPr="004A2840" w:rsidRDefault="008B5BBC" w:rsidP="0060060B">
      <w:r w:rsidRPr="004A2840">
        <w:t>Describa la gestión del talento humano durante el cuatrienio, destacando cómo se fortalecieron las capacidades institucionales para el cumplimiento de los objetivos estratégicos.</w:t>
      </w:r>
    </w:p>
    <w:p w14:paraId="6FC1C219" w14:textId="47ADB1F7" w:rsidR="00685361" w:rsidRPr="004A2840" w:rsidRDefault="00685361" w:rsidP="0060060B">
      <w:pPr>
        <w:pStyle w:val="Heading2"/>
      </w:pPr>
      <w:r w:rsidRPr="004A2840">
        <w:t>Gestión del talento humano</w:t>
      </w:r>
    </w:p>
    <w:p w14:paraId="5ADCC15C" w14:textId="61F23EB5" w:rsidR="008B5BBC" w:rsidRPr="004A2840" w:rsidRDefault="00FC72B9" w:rsidP="0060060B">
      <w:r w:rsidRPr="004A2840">
        <w:t>Explique la evolución de la gestión del personal durante el periodo, incluyendo cambios relevantes, fortalecimiento de capacidades y procesos clave.</w:t>
      </w:r>
    </w:p>
    <w:p w14:paraId="77402354" w14:textId="25CAA28A" w:rsidR="00685361" w:rsidRPr="004A2840" w:rsidRDefault="00685361" w:rsidP="0060060B">
      <w:pPr>
        <w:pStyle w:val="Heading2"/>
      </w:pPr>
      <w:r w:rsidRPr="004A2840">
        <w:t>Bienestar y cultura organizacional</w:t>
      </w:r>
    </w:p>
    <w:p w14:paraId="6D5A850E" w14:textId="65AFBCB7" w:rsidR="00FC72B9" w:rsidRPr="004A2840" w:rsidRDefault="00FC72B9" w:rsidP="0060060B">
      <w:r w:rsidRPr="004A2840">
        <w:t>Describa las estrategias implementadas a lo largo del cuatrienio para mejorar el bienestar y la cultura organizacional.</w:t>
      </w:r>
    </w:p>
    <w:p w14:paraId="72983D3B" w14:textId="2099B9CF" w:rsidR="00685361" w:rsidRPr="004A2840" w:rsidRDefault="00685361" w:rsidP="0060060B">
      <w:pPr>
        <w:pStyle w:val="Heading2"/>
      </w:pPr>
      <w:r w:rsidRPr="004A2840">
        <w:t>Seguridad y salud en el trabajo</w:t>
      </w:r>
    </w:p>
    <w:p w14:paraId="4F8B5B6E" w14:textId="56E16499" w:rsidR="00FC72B9" w:rsidRPr="004A2840" w:rsidRDefault="00FC72B9" w:rsidP="0060060B">
      <w:r w:rsidRPr="004A2840">
        <w:t>Presente las acciones desarrolladas durante el periodo para garantizar condiciones laborales seguras.</w:t>
      </w:r>
    </w:p>
    <w:p w14:paraId="2013FEDC" w14:textId="0C8C32BD" w:rsidR="00AB6040" w:rsidRPr="004A2840" w:rsidRDefault="00685361" w:rsidP="0060060B">
      <w:pPr>
        <w:pStyle w:val="Heading2"/>
      </w:pPr>
      <w:r w:rsidRPr="004A2840">
        <w:t>Avances trabajo decente y libertad sindical</w:t>
      </w:r>
    </w:p>
    <w:p w14:paraId="03998B92" w14:textId="32EC41C8" w:rsidR="00FC72B9" w:rsidRPr="004A2840" w:rsidRDefault="00FC72B9" w:rsidP="0060060B">
      <w:r w:rsidRPr="004A2840">
        <w:t>Explique las acciones implementadas durante el cuatrienio en materia de derechos laborales y diálogo social.</w:t>
      </w:r>
    </w:p>
    <w:p w14:paraId="6718CA7E" w14:textId="3E766B23" w:rsidR="00BB7AC3" w:rsidRPr="004A2840" w:rsidRDefault="00BB7AC3" w:rsidP="0060060B">
      <w:pPr>
        <w:pStyle w:val="Heading1"/>
      </w:pPr>
      <w:r w:rsidRPr="004A2840">
        <w:t xml:space="preserve">Nuestra gestión de los recursos públicos </w:t>
      </w:r>
    </w:p>
    <w:p w14:paraId="383430E4" w14:textId="7A943719" w:rsidR="00FC72B9" w:rsidRPr="004A2840" w:rsidRDefault="004B2B62" w:rsidP="0060060B">
      <w:r w:rsidRPr="004A2840">
        <w:t>Describa la administración de los recursos durante el cuatrienio (por vigencias), evidenciando eficiencia, transparencia y cumplimiento de los principios del gasto público.</w:t>
      </w:r>
    </w:p>
    <w:p w14:paraId="11927979" w14:textId="31FDB452" w:rsidR="00074393" w:rsidRPr="004A2840" w:rsidRDefault="00074393" w:rsidP="0060060B">
      <w:pPr>
        <w:pStyle w:val="Heading2"/>
      </w:pPr>
      <w:r w:rsidRPr="004A2840">
        <w:t>Presupuesto asignado al Ministerio de Minas y Energía (Por vigencia)</w:t>
      </w:r>
    </w:p>
    <w:p w14:paraId="6F16D75B" w14:textId="7B84D0F2" w:rsidR="004B2B62" w:rsidRPr="004A2840" w:rsidRDefault="004B2B62" w:rsidP="0060060B">
      <w:r w:rsidRPr="004A2840">
        <w:t>Presente el presupuesto aprobado por cada vigencia del cuatrienio.</w:t>
      </w:r>
    </w:p>
    <w:p w14:paraId="3B4ADFB7" w14:textId="752C5A17" w:rsidR="00074393" w:rsidRPr="004A2840" w:rsidRDefault="00074393" w:rsidP="0060060B">
      <w:pPr>
        <w:pStyle w:val="Heading2"/>
      </w:pPr>
      <w:r w:rsidRPr="004A2840">
        <w:t>Ejecución presupuestal (Por vigencia- Anexos)</w:t>
      </w:r>
    </w:p>
    <w:p w14:paraId="04791990" w14:textId="2296569E" w:rsidR="004B2B62" w:rsidRPr="004A2840" w:rsidRDefault="004B2B62" w:rsidP="0060060B">
      <w:r w:rsidRPr="004A2840">
        <w:t>Analice la ejecución por vigencia, destacando tendencias, niveles de cumplimiento y variaciones.</w:t>
      </w:r>
    </w:p>
    <w:p w14:paraId="42753145" w14:textId="45A8AFAE" w:rsidR="00074393" w:rsidRPr="004A2840" w:rsidRDefault="00074393" w:rsidP="0060060B">
      <w:pPr>
        <w:pStyle w:val="Heading2"/>
      </w:pPr>
      <w:r w:rsidRPr="004A2840">
        <w:t>Ejecución presupuestal proyectos de inversión Sector Minas y Energía por vigencia (Por vigencia)</w:t>
      </w:r>
    </w:p>
    <w:p w14:paraId="3065C3EE" w14:textId="1B2FE3E7" w:rsidR="004B2B62" w:rsidRPr="004A2840" w:rsidRDefault="00794FF6" w:rsidP="0060060B">
      <w:r w:rsidRPr="004A2840">
        <w:t>Describa la ejecución acumulada de los proyectos de inversión durante el periodo.</w:t>
      </w:r>
    </w:p>
    <w:p w14:paraId="24EFE9FA" w14:textId="15F2E466" w:rsidR="00074393" w:rsidRPr="004A2840" w:rsidRDefault="00074393" w:rsidP="0060060B">
      <w:pPr>
        <w:pStyle w:val="Heading2"/>
      </w:pPr>
      <w:r w:rsidRPr="004A2840">
        <w:t>Ejecución Presupuestal Subsidios y Fondos por vigencia (Por vigencia)</w:t>
      </w:r>
    </w:p>
    <w:p w14:paraId="0539E096" w14:textId="62AB1537" w:rsidR="004B2B62" w:rsidRPr="004A2840" w:rsidRDefault="00794FF6" w:rsidP="0060060B">
      <w:r w:rsidRPr="004A2840">
        <w:t>Explique la ejecución de subsidios y fondos durante el cuatrienio, incluyendo cobertura e impacto.</w:t>
      </w:r>
    </w:p>
    <w:p w14:paraId="22EFE15B" w14:textId="04A00DA4" w:rsidR="00074393" w:rsidRPr="004A2840" w:rsidRDefault="00074393" w:rsidP="0060060B">
      <w:pPr>
        <w:pStyle w:val="Heading2"/>
      </w:pPr>
      <w:r w:rsidRPr="004A2840">
        <w:t>Ejecución contractual por vigencia (Por vigencia)</w:t>
      </w:r>
    </w:p>
    <w:p w14:paraId="07D18269" w14:textId="03BD2226" w:rsidR="00794FF6" w:rsidRPr="004A2840" w:rsidRDefault="00357609" w:rsidP="0060060B">
      <w:r w:rsidRPr="004A2840">
        <w:t>Presente la contratación realizada durante el periodo, destacando su contribución a los resultados.</w:t>
      </w:r>
    </w:p>
    <w:p w14:paraId="67A5291D" w14:textId="47DA7C4A" w:rsidR="00074393" w:rsidRPr="004A2840" w:rsidRDefault="00074393" w:rsidP="0060060B">
      <w:pPr>
        <w:pStyle w:val="Heading2"/>
      </w:pPr>
      <w:r w:rsidRPr="004A2840">
        <w:t xml:space="preserve">Prácticas para la austeridad del gasto público </w:t>
      </w:r>
    </w:p>
    <w:p w14:paraId="1E04604F" w14:textId="4F6FA709" w:rsidR="00357609" w:rsidRPr="004A2840" w:rsidRDefault="00357609" w:rsidP="0060060B">
      <w:r w:rsidRPr="004A2840">
        <w:t>Describa las medidas adoptadas durante el cuatrienio para racionalizar el gasto.</w:t>
      </w:r>
    </w:p>
    <w:p w14:paraId="36E66264" w14:textId="6BCD79ED" w:rsidR="00685361" w:rsidRPr="004A2840" w:rsidRDefault="00074393" w:rsidP="0060060B">
      <w:pPr>
        <w:pStyle w:val="Heading2"/>
      </w:pPr>
      <w:r w:rsidRPr="004A2840">
        <w:t>Cobro coactivo</w:t>
      </w:r>
    </w:p>
    <w:p w14:paraId="6FDAB430" w14:textId="41ACDD9A" w:rsidR="00357609" w:rsidRPr="004A2840" w:rsidRDefault="00357609" w:rsidP="0060060B">
      <w:r w:rsidRPr="004A2840">
        <w:t>Explique la gestión de recuperación de cartera durante el periodo y sus resultados.</w:t>
      </w:r>
    </w:p>
    <w:p w14:paraId="4BCCB4CD" w14:textId="708EDB2B" w:rsidR="00BB7AC3" w:rsidRPr="004A2840" w:rsidRDefault="00BB7AC3" w:rsidP="0060060B">
      <w:pPr>
        <w:pStyle w:val="Heading1"/>
      </w:pPr>
      <w:r w:rsidRPr="004A2840">
        <w:t xml:space="preserve">De cara al ciudadano </w:t>
      </w:r>
    </w:p>
    <w:p w14:paraId="534B1710" w14:textId="4EBC4050" w:rsidR="00357609" w:rsidRPr="004A2840" w:rsidRDefault="00357609" w:rsidP="0060060B">
      <w:r w:rsidRPr="004A2840">
        <w:t>Describa las acciones adelantadas durante el cuatrienio para fortalecer la relación con la ciudadanía.</w:t>
      </w:r>
    </w:p>
    <w:p w14:paraId="566C1773" w14:textId="77777777" w:rsidR="008C6ACC" w:rsidRPr="004A2840" w:rsidRDefault="0038438B" w:rsidP="0060060B">
      <w:pPr>
        <w:pStyle w:val="Heading2"/>
      </w:pPr>
      <w:r w:rsidRPr="004A2840">
        <w:t>Caracterización de usuarios y medición de la satisfacción</w:t>
      </w:r>
    </w:p>
    <w:p w14:paraId="5B405E66" w14:textId="49464104" w:rsidR="0038438B" w:rsidRPr="004A2840" w:rsidRDefault="008C6ACC" w:rsidP="0060060B">
      <w:r w:rsidRPr="004A2840">
        <w:t>Explique la evolución del conocimiento de los usuarios durante el periodo.</w:t>
      </w:r>
      <w:r w:rsidR="0038438B" w:rsidRPr="004A2840">
        <w:t xml:space="preserve"> </w:t>
      </w:r>
    </w:p>
    <w:p w14:paraId="4F725388" w14:textId="278CD7DB" w:rsidR="0038438B" w:rsidRPr="004A2840" w:rsidRDefault="0038438B" w:rsidP="0060060B">
      <w:pPr>
        <w:pStyle w:val="Heading2"/>
      </w:pPr>
      <w:r w:rsidRPr="004A2840">
        <w:t>Canales de atención y servicio a las ciudadanías diversas</w:t>
      </w:r>
    </w:p>
    <w:p w14:paraId="51F0ED67" w14:textId="1F10FF9D" w:rsidR="008C6ACC" w:rsidRPr="004A2840" w:rsidRDefault="008C6ACC" w:rsidP="0060060B">
      <w:r w:rsidRPr="004A2840">
        <w:t>Describa la evolución y fortalecimiento de los canales de atención.</w:t>
      </w:r>
    </w:p>
    <w:p w14:paraId="6FFB787F" w14:textId="327FD124" w:rsidR="0038438B" w:rsidRPr="004A2840" w:rsidRDefault="0038438B" w:rsidP="0060060B">
      <w:pPr>
        <w:pStyle w:val="Heading2"/>
      </w:pPr>
      <w:r w:rsidRPr="004A2840">
        <w:t>Participación de las ciudadanías diversas y prácticas de control social (Incluiría RdC, avances</w:t>
      </w:r>
      <w:r w:rsidR="00357609" w:rsidRPr="004A2840">
        <w:t xml:space="preserve"> </w:t>
      </w:r>
      <w:r w:rsidRPr="004A2840">
        <w:t>de estrategia educomunicativa, Nodo de RdC y RdC de Paz)</w:t>
      </w:r>
    </w:p>
    <w:p w14:paraId="08F6C279" w14:textId="783C9C34" w:rsidR="008C6ACC" w:rsidRPr="004A2840" w:rsidRDefault="0072557E" w:rsidP="0060060B">
      <w:r w:rsidRPr="004A2840">
        <w:t>Explique los mecanismos implementados durante el cuatrienio y sus resultados.</w:t>
      </w:r>
    </w:p>
    <w:p w14:paraId="201E336D" w14:textId="52F37C53" w:rsidR="00074393" w:rsidRPr="002E6D61" w:rsidRDefault="0038438B" w:rsidP="0060060B">
      <w:pPr>
        <w:pStyle w:val="Heading2"/>
      </w:pPr>
      <w:r w:rsidRPr="002E6D61">
        <w:t>Oferta de trámites y servicios</w:t>
      </w:r>
    </w:p>
    <w:p w14:paraId="13181EBE" w14:textId="652F12A7" w:rsidR="0072557E" w:rsidRPr="004A2840" w:rsidRDefault="0072557E" w:rsidP="0060060B">
      <w:r w:rsidRPr="004A2840">
        <w:t>Describa mejoras realizadas en trámites y servicios durante el periodo.</w:t>
      </w:r>
    </w:p>
    <w:p w14:paraId="1DEB0578" w14:textId="558ACDF2" w:rsidR="00BB7AC3" w:rsidRPr="004A2840" w:rsidRDefault="00BB7AC3" w:rsidP="0060060B">
      <w:pPr>
        <w:pStyle w:val="Heading1"/>
      </w:pPr>
      <w:r w:rsidRPr="004A2840">
        <w:t>Derechos humanos y paz</w:t>
      </w:r>
    </w:p>
    <w:p w14:paraId="13E1CAE3" w14:textId="77777777" w:rsidR="006A78A3" w:rsidRPr="004A2840" w:rsidRDefault="006A78A3" w:rsidP="0060060B">
      <w:r w:rsidRPr="004A2840">
        <w:t>Presente de manera integral las acciones, estrategias y resultados del Ministerio en materia de derechos humanos y construcción de paz durante el cuatrienio agosto de 2022 a marzo de 2026. Este apartado debe evidenciar la articulación con políticas nacionales, la incorporación de enfoques diferenciales (género, étnico, territorial, entre otros) y los principales avances en la garantía de derechos en el sector minero-energético.</w:t>
      </w:r>
    </w:p>
    <w:p w14:paraId="6F089848" w14:textId="0FCDB015" w:rsidR="0038438B" w:rsidRPr="002E6D61" w:rsidRDefault="0038438B" w:rsidP="0060060B">
      <w:pPr>
        <w:pStyle w:val="Heading2"/>
      </w:pPr>
      <w:r w:rsidRPr="002E6D61">
        <w:t>Derechos humanos y paz</w:t>
      </w:r>
    </w:p>
    <w:p w14:paraId="5A4C246D" w14:textId="5C0759DC" w:rsidR="006A78A3" w:rsidRPr="004A2840" w:rsidRDefault="006A78A3" w:rsidP="0060060B">
      <w:r w:rsidRPr="004A2840">
        <w:t>Describa las acciones adelantadas durante el cuatrienio en materia de derechos humanos y construcción de paz.</w:t>
      </w:r>
    </w:p>
    <w:p w14:paraId="5BF2F952" w14:textId="691DAE74" w:rsidR="0038438B" w:rsidRPr="004A2840" w:rsidRDefault="0038438B" w:rsidP="0060060B">
      <w:pPr>
        <w:pStyle w:val="Heading2"/>
      </w:pPr>
      <w:r w:rsidRPr="004A2840">
        <w:t>Género</w:t>
      </w:r>
    </w:p>
    <w:p w14:paraId="6E6615CE" w14:textId="3CF9CEB0" w:rsidR="005C753D" w:rsidRPr="004A2840" w:rsidRDefault="00756934" w:rsidP="0060060B">
      <w:r w:rsidRPr="004A2840">
        <w:t>Explique cómo se incorporó el enfoque de género durante el periodo y sus resultados.</w:t>
      </w:r>
    </w:p>
    <w:p w14:paraId="4104C614" w14:textId="41C6D1AA" w:rsidR="00BB7AC3" w:rsidRPr="004A2840" w:rsidRDefault="00BB7AC3" w:rsidP="0060060B">
      <w:pPr>
        <w:pStyle w:val="Heading1"/>
      </w:pPr>
      <w:r w:rsidRPr="004A2840">
        <w:t>Nuestro desempeño</w:t>
      </w:r>
    </w:p>
    <w:p w14:paraId="49839DB1" w14:textId="1D668834" w:rsidR="00756934" w:rsidRPr="004A2840" w:rsidRDefault="00756934" w:rsidP="0060060B">
      <w:r w:rsidRPr="004A2840">
        <w:t>Presente el estado de implementación de los modelos de gestión durante el cuatrienio y sus resultados.</w:t>
      </w:r>
    </w:p>
    <w:p w14:paraId="61E35828" w14:textId="41A3A213" w:rsidR="00C712D1" w:rsidRPr="004A2840" w:rsidRDefault="00C712D1" w:rsidP="0060060B">
      <w:pPr>
        <w:pStyle w:val="Heading2"/>
      </w:pPr>
      <w:r w:rsidRPr="004A2840">
        <w:t>Avances en la implementación MIPG y MDI</w:t>
      </w:r>
    </w:p>
    <w:p w14:paraId="3C62F33C" w14:textId="28DF3E80" w:rsidR="00756934" w:rsidRPr="004A2840" w:rsidRDefault="00756934" w:rsidP="0060060B">
      <w:r w:rsidRPr="004A2840">
        <w:t>Explique avances acumulados durante el periodo y resultados en mediciones</w:t>
      </w:r>
    </w:p>
    <w:p w14:paraId="69B9D58A" w14:textId="05A4B3D9" w:rsidR="00C712D1" w:rsidRPr="004A2840" w:rsidRDefault="00C712D1" w:rsidP="0060060B">
      <w:pPr>
        <w:pStyle w:val="Heading2"/>
      </w:pPr>
      <w:r w:rsidRPr="004A2840">
        <w:t>Sistema Integrado de Gestión del Ministerio de Minas y Energía</w:t>
      </w:r>
    </w:p>
    <w:p w14:paraId="6321AA69" w14:textId="7D9793FF" w:rsidR="00756934" w:rsidRPr="004A2840" w:rsidRDefault="00AA0758" w:rsidP="0060060B">
      <w:r w:rsidRPr="004A2840">
        <w:t>Describa su fortalecimiento durante el cuatrienio.</w:t>
      </w:r>
    </w:p>
    <w:p w14:paraId="1941F543" w14:textId="14CE1ABD" w:rsidR="00C712D1" w:rsidRPr="004A2840" w:rsidRDefault="00C712D1" w:rsidP="0060060B">
      <w:pPr>
        <w:pStyle w:val="Heading2"/>
      </w:pPr>
      <w:r w:rsidRPr="004A2840">
        <w:t>Gestión de riesgos y líneas de defensa en la gestión</w:t>
      </w:r>
    </w:p>
    <w:p w14:paraId="441C17E5" w14:textId="75E63AD3" w:rsidR="00AA0758" w:rsidRPr="004A2840" w:rsidRDefault="00AA0758" w:rsidP="0060060B">
      <w:r w:rsidRPr="004A2840">
        <w:t>Explique la evolución de la gestión de riesgos en el periodo.</w:t>
      </w:r>
    </w:p>
    <w:p w14:paraId="19737219" w14:textId="2020CE20" w:rsidR="00C712D1" w:rsidRPr="004A2840" w:rsidRDefault="00C712D1" w:rsidP="0060060B">
      <w:pPr>
        <w:pStyle w:val="Heading2"/>
      </w:pPr>
      <w:r w:rsidRPr="004A2840">
        <w:t>Gestión Internacional en el Ministerio Minas y Energía</w:t>
      </w:r>
    </w:p>
    <w:p w14:paraId="6ABD0FAF" w14:textId="26DEC3CE" w:rsidR="00AA0758" w:rsidRPr="004A2840" w:rsidRDefault="00AA0758" w:rsidP="0060060B">
      <w:r w:rsidRPr="004A2840">
        <w:t>Describa las acciones desarrolladas durante el cuatrienio y sus resultados.</w:t>
      </w:r>
    </w:p>
    <w:p w14:paraId="6FAA82BD" w14:textId="6E8E5FB9" w:rsidR="00BB7AC3" w:rsidRPr="004A2840" w:rsidRDefault="00BB7AC3" w:rsidP="16B512B3">
      <w:pPr>
        <w:pStyle w:val="Heading1"/>
        <w:rPr>
          <w:highlight w:val="yellow"/>
        </w:rPr>
      </w:pPr>
      <w:r w:rsidRPr="16B512B3">
        <w:rPr>
          <w:highlight w:val="yellow"/>
        </w:rPr>
        <w:t>Nuestras tecnologías de la información y la comunicación</w:t>
      </w:r>
    </w:p>
    <w:p w14:paraId="6A62A921" w14:textId="15D4B21F" w:rsidR="00AA0758" w:rsidRPr="004A2840" w:rsidRDefault="00DC252B" w:rsidP="0060060B">
      <w:r>
        <w:t>Describa la evolución del uso de TIC durante el cuatrienio como soporte de la gestión institucional.</w:t>
      </w:r>
    </w:p>
    <w:p w14:paraId="2178C37E" w14:textId="5A1A2021" w:rsidR="00C712D1" w:rsidRPr="004A2840" w:rsidRDefault="00C712D1" w:rsidP="0060060B">
      <w:pPr>
        <w:pStyle w:val="Heading2"/>
      </w:pPr>
      <w:commentRangeStart w:id="0"/>
      <w:r>
        <w:t>Tecnologías al servicio de los grupos de valor</w:t>
      </w:r>
      <w:commentRangeEnd w:id="0"/>
      <w:r w:rsidRPr="004A2840">
        <w:rPr>
          <w:rStyle w:val="CommentReference"/>
          <w:sz w:val="28"/>
          <w:szCs w:val="28"/>
        </w:rPr>
        <w:commentReference w:id="0"/>
      </w:r>
    </w:p>
    <w:p w14:paraId="7BD62B01" w14:textId="16670500" w:rsidR="00DC252B" w:rsidRPr="004A2840" w:rsidRDefault="00DC252B" w:rsidP="64043FCE">
      <w:pPr>
        <w:rPr>
          <w:highlight w:val="yellow"/>
        </w:rPr>
      </w:pPr>
      <w:r w:rsidRPr="642B55D5">
        <w:rPr>
          <w:highlight w:val="yellow"/>
        </w:rPr>
        <w:t>Explique cómo se fortaleció el uso de TIC para los grupos de valor.</w:t>
      </w:r>
    </w:p>
    <w:p w14:paraId="3DAADC4E" w14:textId="1A64E4AC" w:rsidR="56AB8884" w:rsidRDefault="56AB8884" w:rsidP="56AB8884">
      <w:pPr>
        <w:rPr>
          <w:highlight w:val="yellow"/>
        </w:rPr>
      </w:pPr>
    </w:p>
    <w:p w14:paraId="6C478A69" w14:textId="368F45AD" w:rsidR="6D794501" w:rsidRDefault="6D794501" w:rsidP="642B55D5">
      <w:pPr>
        <w:rPr>
          <w:rFonts w:eastAsia="Verdana" w:cs="Verdana"/>
          <w:color w:val="000000" w:themeColor="text1"/>
          <w:sz w:val="24"/>
          <w:szCs w:val="24"/>
        </w:rPr>
      </w:pPr>
      <w:r w:rsidRPr="642B55D5">
        <w:rPr>
          <w:rFonts w:eastAsia="Verdana" w:cs="Verdana"/>
          <w:b/>
          <w:bCs/>
          <w:color w:val="000000" w:themeColor="text1"/>
          <w:sz w:val="24"/>
          <w:szCs w:val="24"/>
        </w:rPr>
        <w:t>8.1.1 Período 2022 - mayo de 2023</w:t>
      </w:r>
    </w:p>
    <w:p w14:paraId="021B4563" w14:textId="14645046" w:rsidR="57AAEF89" w:rsidRDefault="57AAEF89" w:rsidP="642B55D5">
      <w:pPr>
        <w:rPr>
          <w:rFonts w:eastAsia="Verdana" w:cs="Verdana"/>
          <w:b/>
          <w:bCs/>
          <w:color w:val="000000" w:themeColor="text1"/>
          <w:u w:val="single"/>
        </w:rPr>
      </w:pPr>
      <w:r w:rsidRPr="642B55D5">
        <w:rPr>
          <w:rFonts w:eastAsia="Verdana" w:cs="Verdana"/>
          <w:b/>
          <w:bCs/>
          <w:color w:val="000000" w:themeColor="text1"/>
          <w:u w:val="single"/>
        </w:rPr>
        <w:t>Fortalecimiento de los servicios digitales para los grupos de valor</w:t>
      </w:r>
    </w:p>
    <w:p w14:paraId="7CA15E0A" w14:textId="6843B328" w:rsidR="6D794501" w:rsidRDefault="6D794501">
      <w:r>
        <w:t>Con el fin de seguir fortaleciendo el portafolio de productos y servicios digitales que el Minenergía oferta a los grupos de valor, en la vigencia 2022 se adelantaron las siguientes acciones:</w:t>
      </w:r>
    </w:p>
    <w:p w14:paraId="10D6A8BF" w14:textId="4DCDD53E" w:rsidR="6D794501" w:rsidRDefault="6D794501" w:rsidP="642B55D5">
      <w:pPr>
        <w:pStyle w:val="ListParagraph"/>
      </w:pPr>
      <w:r>
        <w:t>Se dispuso de un nuevo portal web, aplicando nuevos modelos y tecnologías de accesibilidad, que permite una mayor interacción y acercamiento entre el ciudadano y los contenidos y el mejoramiento en los niveles de seguridad requeridos.</w:t>
      </w:r>
    </w:p>
    <w:p w14:paraId="06AF38BD" w14:textId="4676A082" w:rsidR="6D794501" w:rsidRDefault="6D794501" w:rsidP="642B55D5">
      <w:pPr>
        <w:pStyle w:val="ListParagraph"/>
      </w:pPr>
      <w:r>
        <w:t>Se fortaleció la prestación de los servicios tecnológicos mediante la Mesa de Ayuda especializada, que incluye el mantenimiento preventivo y correctivo de los equipos y la atención de consultas, solicitudes o incidentes relacionados con el servicio de TI de forma remota y presencial. Esto último implica total cobertura a la infraestructura de TI del ministerio.</w:t>
      </w:r>
    </w:p>
    <w:p w14:paraId="0D7E3095" w14:textId="0A1E4440" w:rsidR="6D794501" w:rsidRDefault="6D794501" w:rsidP="642B55D5">
      <w:pPr>
        <w:pStyle w:val="ListParagraph"/>
      </w:pPr>
      <w:r>
        <w:t>Se implementó la segunda fase del Plan de Recuperación ante Desastres, que busca el cumplimiento de los lineamientos técnicos de infraestructura en los procesos del Minenergía.</w:t>
      </w:r>
    </w:p>
    <w:p w14:paraId="5C6839A9" w14:textId="5AFC2286" w:rsidR="6D794501" w:rsidRDefault="6D794501" w:rsidP="642B55D5">
      <w:pPr>
        <w:pStyle w:val="ListParagraph"/>
      </w:pPr>
      <w:r>
        <w:t>Se garantizó administración eficiente de los recursos de red maximizando la capacidad de la infraestructura de TI.</w:t>
      </w:r>
    </w:p>
    <w:p w14:paraId="090502E5" w14:textId="0020872C" w:rsidR="2C31776D" w:rsidRDefault="2C31776D" w:rsidP="642B55D5">
      <w:pPr>
        <w:rPr>
          <w:rFonts w:eastAsia="Verdana" w:cs="Verdana"/>
          <w:b/>
          <w:bCs/>
          <w:color w:val="000000" w:themeColor="text1"/>
          <w:u w:val="single"/>
        </w:rPr>
      </w:pPr>
      <w:r w:rsidRPr="642B55D5">
        <w:rPr>
          <w:rFonts w:eastAsia="Verdana" w:cs="Verdana"/>
          <w:b/>
          <w:bCs/>
          <w:color w:val="000000" w:themeColor="text1"/>
          <w:u w:val="single"/>
        </w:rPr>
        <w:t>IntégraME</w:t>
      </w:r>
    </w:p>
    <w:p w14:paraId="7ACDDCE7" w14:textId="4275C661" w:rsidR="2C31776D" w:rsidRDefault="2C31776D" w:rsidP="642B55D5">
      <w:pPr>
        <w:rPr>
          <w:rFonts w:eastAsia="Verdana" w:cs="Verdana"/>
          <w:color w:val="000000" w:themeColor="text1"/>
        </w:rPr>
      </w:pPr>
      <w:r w:rsidRPr="642B55D5">
        <w:rPr>
          <w:rFonts w:eastAsia="Verdana" w:cs="Verdana"/>
          <w:color w:val="000000" w:themeColor="text1"/>
        </w:rPr>
        <w:t xml:space="preserve">A través del documento CONPES 3839 de 2015 se obtuvo concepto favorable para el fortalecimiento institucional del sector minero-energético, con foco principal en la identificación de instancias de toma de decisiones y procesos sectoriales en los que la disponibilidad, accesibilidad, oportunidad, calidad o madurez de los datos/información fuesen un reto significativo. En respuesta a esta necesidad, el Ministerio de Minas y Energía y sus entidades adscritas iniciaron el desarrollo de la plataforma de integración, interoperabilidad y analítica avanzada del sector minero-energético INTÉGRAME, la cual, a través del uso de herramientas tecnológicas de última generación, pone a disposición del público en general una plataforma donde confluyen datos de más de 15 entidades. Se constituye así en el referente de datos más importante del sector minero-energético. </w:t>
      </w:r>
    </w:p>
    <w:p w14:paraId="6EFA5C98" w14:textId="1B9AAC17" w:rsidR="2C31776D" w:rsidRDefault="2C31776D" w:rsidP="642B55D5">
      <w:pPr>
        <w:rPr>
          <w:rFonts w:eastAsia="Verdana" w:cs="Verdana"/>
          <w:color w:val="000000" w:themeColor="text1"/>
        </w:rPr>
      </w:pPr>
      <w:r w:rsidRPr="642B55D5">
        <w:rPr>
          <w:rFonts w:eastAsia="Verdana" w:cs="Verdana"/>
          <w:color w:val="000000" w:themeColor="text1"/>
        </w:rPr>
        <w:t xml:space="preserve">Es de resaltar que gracias a este proyecto hoy el país cuenta con una solución tecnológica que habilita al sector para la construcción de políticas públicas basadas en datos. Esto favorece la toma de decisiones de una manera más rápida y precisa, y sin lugar a duda es una solución que hace más transparente la gestión del sector. </w:t>
      </w:r>
    </w:p>
    <w:p w14:paraId="762EA12E" w14:textId="79A9A97D" w:rsidR="2C31776D" w:rsidRDefault="2C31776D" w:rsidP="642B55D5">
      <w:pPr>
        <w:rPr>
          <w:rFonts w:eastAsia="Verdana" w:cs="Verdana"/>
          <w:color w:val="000000" w:themeColor="text1"/>
        </w:rPr>
      </w:pPr>
      <w:r w:rsidRPr="642B55D5">
        <w:rPr>
          <w:rFonts w:eastAsia="Verdana" w:cs="Verdana"/>
          <w:color w:val="000000" w:themeColor="text1"/>
        </w:rPr>
        <w:t>Algunos hitos sectoriales en los que INTÉGRAME ha contribuido a mayo de 2023 son:</w:t>
      </w:r>
    </w:p>
    <w:p w14:paraId="232526CC" w14:textId="0E7087E8" w:rsidR="2C31776D" w:rsidRDefault="2C31776D" w:rsidP="642B55D5">
      <w:pPr>
        <w:pStyle w:val="ListParagraph"/>
        <w:rPr>
          <w:rFonts w:eastAsia="Verdana" w:cs="Verdana"/>
          <w:color w:val="000000" w:themeColor="text1"/>
        </w:rPr>
      </w:pPr>
      <w:r w:rsidRPr="642B55D5">
        <w:rPr>
          <w:rFonts w:eastAsia="Verdana" w:cs="Verdana"/>
          <w:color w:val="000000" w:themeColor="text1"/>
        </w:rPr>
        <w:t>Mejorar la planeación y el abastecimiento de combustibles del país.</w:t>
      </w:r>
    </w:p>
    <w:p w14:paraId="7AD6DD90" w14:textId="79508F7C" w:rsidR="2C31776D" w:rsidRDefault="2C31776D" w:rsidP="642B55D5">
      <w:pPr>
        <w:pStyle w:val="ListParagraph"/>
        <w:rPr>
          <w:rFonts w:eastAsia="Verdana" w:cs="Verdana"/>
          <w:color w:val="000000" w:themeColor="text1"/>
        </w:rPr>
      </w:pPr>
      <w:r w:rsidRPr="642B55D5">
        <w:rPr>
          <w:rFonts w:eastAsia="Verdana" w:cs="Verdana"/>
          <w:color w:val="000000" w:themeColor="text1"/>
        </w:rPr>
        <w:t>Lograr una trazabilidad adecuada de los precios/tarifas de combustible y energía.</w:t>
      </w:r>
    </w:p>
    <w:p w14:paraId="3FC2CEAA" w14:textId="426FC384" w:rsidR="2C31776D" w:rsidRDefault="2C31776D" w:rsidP="642B55D5">
      <w:pPr>
        <w:pStyle w:val="ListParagraph"/>
        <w:rPr>
          <w:rFonts w:eastAsia="Verdana" w:cs="Verdana"/>
          <w:color w:val="000000" w:themeColor="text1"/>
        </w:rPr>
      </w:pPr>
      <w:r w:rsidRPr="642B55D5">
        <w:rPr>
          <w:rFonts w:eastAsia="Verdana" w:cs="Verdana"/>
          <w:color w:val="000000" w:themeColor="text1"/>
        </w:rPr>
        <w:t>Selección, impacto y sostenibilidad de proyectos de conexión de nuevos usuarios de energía.</w:t>
      </w:r>
    </w:p>
    <w:p w14:paraId="4113858E" w14:textId="7DC64311" w:rsidR="2C31776D" w:rsidRDefault="2C31776D" w:rsidP="642B55D5">
      <w:pPr>
        <w:pStyle w:val="ListParagraph"/>
        <w:rPr>
          <w:rFonts w:eastAsia="Verdana" w:cs="Verdana"/>
          <w:color w:val="000000" w:themeColor="text1"/>
        </w:rPr>
      </w:pPr>
      <w:r w:rsidRPr="642B55D5">
        <w:rPr>
          <w:rFonts w:eastAsia="Verdana" w:cs="Verdana"/>
          <w:color w:val="000000" w:themeColor="text1"/>
        </w:rPr>
        <w:t>Presentación de indicadores referentes a la participación del sector en la reactivación económica.</w:t>
      </w:r>
    </w:p>
    <w:p w14:paraId="425D8E87" w14:textId="3C15AE8B" w:rsidR="2C31776D" w:rsidRDefault="2C31776D" w:rsidP="642B55D5">
      <w:pPr>
        <w:pStyle w:val="ListParagraph"/>
        <w:rPr>
          <w:rFonts w:eastAsia="Verdana" w:cs="Verdana"/>
          <w:color w:val="000000" w:themeColor="text1"/>
        </w:rPr>
      </w:pPr>
      <w:r w:rsidRPr="642B55D5">
        <w:rPr>
          <w:rFonts w:eastAsia="Verdana" w:cs="Verdana"/>
          <w:color w:val="000000" w:themeColor="text1"/>
        </w:rPr>
        <w:t>Estrategia de legalidad-identificación de posibles inconsistencias en el consumo de combustible o el reporte de energía en las localidades de las zonas no interconectadas (ZNI).</w:t>
      </w:r>
    </w:p>
    <w:p w14:paraId="5C63D0C5" w14:textId="7D89C060" w:rsidR="2C509F97" w:rsidRDefault="2C509F97" w:rsidP="642B55D5">
      <w:pPr>
        <w:rPr>
          <w:rFonts w:eastAsia="Verdana" w:cs="Verdana"/>
          <w:b/>
          <w:bCs/>
          <w:color w:val="000000" w:themeColor="text1"/>
          <w:u w:val="single"/>
        </w:rPr>
      </w:pPr>
      <w:r w:rsidRPr="642B55D5">
        <w:rPr>
          <w:rFonts w:eastAsia="Verdana" w:cs="Verdana"/>
          <w:b/>
          <w:bCs/>
          <w:color w:val="000000" w:themeColor="text1"/>
          <w:u w:val="single"/>
        </w:rPr>
        <w:t>Estrategia de gestión de trámites</w:t>
      </w:r>
    </w:p>
    <w:p w14:paraId="31A23C84" w14:textId="3FE45770" w:rsidR="2C509F97" w:rsidRDefault="2C509F97" w:rsidP="642B55D5">
      <w:pPr>
        <w:rPr>
          <w:rFonts w:eastAsia="Verdana" w:cs="Verdana"/>
          <w:color w:val="000000" w:themeColor="text1"/>
        </w:rPr>
      </w:pPr>
      <w:r w:rsidRPr="642B55D5">
        <w:rPr>
          <w:rFonts w:eastAsia="Verdana" w:cs="Verdana"/>
          <w:color w:val="000000" w:themeColor="text1"/>
        </w:rPr>
        <w:t xml:space="preserve">En el desarrollo de la Política de Gobierno Digital como mecanismo de consolidación del principio de la sociedad de la información, el ministerio ha adelantado la adopción de las medidas funcionales y técnicas que faciliten el máximo aprovechamiento de las tecnologías de la información y las comunicaciones para el cumplimiento de sus funciones generando valor público. </w:t>
      </w:r>
    </w:p>
    <w:p w14:paraId="3B3454AC" w14:textId="665F0170" w:rsidR="2C509F97" w:rsidRDefault="2C509F97" w:rsidP="642B55D5">
      <w:pPr>
        <w:rPr>
          <w:rFonts w:eastAsia="Verdana" w:cs="Verdana"/>
          <w:color w:val="000000" w:themeColor="text1"/>
        </w:rPr>
      </w:pPr>
      <w:r w:rsidRPr="642B55D5">
        <w:rPr>
          <w:rFonts w:eastAsia="Verdana" w:cs="Verdana"/>
          <w:color w:val="000000" w:themeColor="text1"/>
        </w:rPr>
        <w:t xml:space="preserve">Otro componente que ha sido adoptado durante la última vigencia es el conjunto de soluciones habilitadoras de los servicios de ciudadanía digital diseñado e implementado por el Estado para la transformación digital de la administración con miras a facilitar la interacción con el ciudadano. En su orden, en el Minenergía ya se cuenta con la vinculación y la infraestructura para el uso de la capa de interoperabilidad de servicios ciudadanos X-Road y se tienen expuestos algunos servicios que se ofrecen a otras instituciones. </w:t>
      </w:r>
    </w:p>
    <w:p w14:paraId="7DA6EF29" w14:textId="35F26D03" w:rsidR="2C509F97" w:rsidRDefault="2C509F97" w:rsidP="642B55D5">
      <w:pPr>
        <w:rPr>
          <w:rFonts w:eastAsia="Verdana" w:cs="Verdana"/>
          <w:color w:val="000000" w:themeColor="text1"/>
        </w:rPr>
      </w:pPr>
      <w:r w:rsidRPr="642B55D5">
        <w:rPr>
          <w:rFonts w:eastAsia="Verdana" w:cs="Verdana"/>
          <w:color w:val="000000" w:themeColor="text1"/>
        </w:rPr>
        <w:t>En cumplimiento de los plazos para digitalizar y automatizar trámites, el ministerio ha cumplido con el establecimiento de la línea base, el diseño de los trámites y la implementación de las automatizaciones establecidas en la metodología propuesta en el Decreto 088 de 2022.</w:t>
      </w:r>
    </w:p>
    <w:p w14:paraId="02E0166A" w14:textId="5F13311F" w:rsidR="2C509F97" w:rsidRDefault="2C509F97" w:rsidP="642B55D5">
      <w:pPr>
        <w:rPr>
          <w:rFonts w:eastAsia="Verdana" w:cs="Verdana"/>
          <w:color w:val="000000" w:themeColor="text1"/>
        </w:rPr>
      </w:pPr>
      <w:r w:rsidRPr="642B55D5">
        <w:rPr>
          <w:rFonts w:eastAsia="Verdana" w:cs="Verdana"/>
          <w:color w:val="000000" w:themeColor="text1"/>
        </w:rPr>
        <w:t xml:space="preserve">Se debe señalar que, en cumplimiento de la automatización y digitalización de trámites, se ha venido adelantando el proyecto de inversión BPIN 2019011000154, denominado “Implementación del Modelo de Gestión de Documentos Electrónicos de Archivo (MGDEA)”, con el que se han incorporado las tecnologías para la gestión documental en el entorno digital al Sistema de Gestión de Documentos Electrónicos de Archivo (SGDEA)-ARGO. Esto incluye el componente de orquestación de procesos, que impulsa esta implementación en etapas de evolución del sistema y que se ha sincronizado para cumplir los plazos definidos en el Decreto 088 de 2020. </w:t>
      </w:r>
    </w:p>
    <w:p w14:paraId="2FF4FA07" w14:textId="40CB93D9" w:rsidR="2C509F97" w:rsidRDefault="2C509F97" w:rsidP="642B55D5">
      <w:pPr>
        <w:rPr>
          <w:rFonts w:eastAsia="Verdana" w:cs="Verdana"/>
          <w:color w:val="000000" w:themeColor="text1"/>
        </w:rPr>
      </w:pPr>
      <w:r w:rsidRPr="642B55D5">
        <w:rPr>
          <w:rFonts w:eastAsia="Verdana" w:cs="Verdana"/>
          <w:color w:val="000000" w:themeColor="text1"/>
        </w:rPr>
        <w:t>En esta dinámica, los trámites y procesos del Minenergía que se han contratado para ser automatizados durante la vigencia 2022 y al corte de lo recorrido de 2023 son: Declaratoria de Utilidad Pública de Interés Social (DUPIS) y Exploración de Recurso Geotérmico. Estos procesos están en la etapa de despliegue y puesta en producción.</w:t>
      </w:r>
    </w:p>
    <w:p w14:paraId="129E07AC" w14:textId="49791CC4" w:rsidR="2C509F97" w:rsidRDefault="2C509F97" w:rsidP="642B55D5">
      <w:pPr>
        <w:rPr>
          <w:rFonts w:eastAsia="Verdana" w:cs="Verdana"/>
          <w:color w:val="000000" w:themeColor="text1"/>
        </w:rPr>
      </w:pPr>
      <w:r w:rsidRPr="642B55D5">
        <w:rPr>
          <w:rFonts w:eastAsia="Verdana" w:cs="Verdana"/>
          <w:color w:val="000000" w:themeColor="text1"/>
        </w:rPr>
        <w:t xml:space="preserve">Se resalta en el proceso de automatización de trámites el avance de la DUPIS, a través de una ventanilla que incorpora mecanismos de registro de usuario, cargue de la solicitud, clasificación documental, creación de expediente, generación de alertas y las interacciones requeridas para mantener informado al interesado sobre el estado del trámite en una ventanilla electrónica agradable y sencilla para el usuario. </w:t>
      </w:r>
    </w:p>
    <w:p w14:paraId="2403746E" w14:textId="55E50B3D" w:rsidR="2C509F97" w:rsidRDefault="2C509F97" w:rsidP="642B55D5">
      <w:pPr>
        <w:rPr>
          <w:rFonts w:eastAsia="Verdana" w:cs="Verdana"/>
          <w:color w:val="000000" w:themeColor="text1"/>
        </w:rPr>
      </w:pPr>
      <w:r w:rsidRPr="642B55D5">
        <w:rPr>
          <w:rFonts w:eastAsia="Verdana" w:cs="Verdana"/>
          <w:color w:val="000000" w:themeColor="text1"/>
        </w:rPr>
        <w:t xml:space="preserve">Por otro lado, el proceso de automatización del trámite de Exploración del Recurso Geotérmico también se ha diseñado para reutilizar algunos componentes de la ventanilla. En ese sentido, se han implementado, en términos generales, actividades de registro de usuario, cargue de la solicitud mediante radicado, clasificación documental, creación de expediente y generación de alertas y permisos de exploración. </w:t>
      </w:r>
    </w:p>
    <w:p w14:paraId="08A16C4A" w14:textId="7F62440C" w:rsidR="2C509F97" w:rsidRDefault="2C509F97" w:rsidP="642B55D5">
      <w:pPr>
        <w:rPr>
          <w:rFonts w:eastAsia="Verdana" w:cs="Verdana"/>
          <w:color w:val="000000" w:themeColor="text1"/>
        </w:rPr>
      </w:pPr>
      <w:r w:rsidRPr="642B55D5">
        <w:rPr>
          <w:rFonts w:eastAsia="Verdana" w:cs="Verdana"/>
          <w:color w:val="000000" w:themeColor="text1"/>
        </w:rPr>
        <w:t>Los trámites antes mencionados, desde la perspectiva del usuario, incorporan las facilidades e interacciones que agilizan, facilitan y favorecen la interacción del ciudadano con el ministerio, en la medida en que se minimiza la complejidad y se fomenta el uso de la automatización como mecanismo de transparencia. Desde la perspectiva del Minenergía esta automatización permite el monitoreo de las actividades y las solicitudes de cada proceso de manera ágil y facilitando la toma de decisiones.</w:t>
      </w:r>
    </w:p>
    <w:p w14:paraId="470D81EC" w14:textId="6F640613" w:rsidR="2C509F97" w:rsidRDefault="2C509F97" w:rsidP="642B55D5">
      <w:pPr>
        <w:rPr>
          <w:rFonts w:eastAsia="Verdana" w:cs="Verdana"/>
          <w:color w:val="000000" w:themeColor="text1"/>
        </w:rPr>
      </w:pPr>
      <w:r w:rsidRPr="642B55D5">
        <w:rPr>
          <w:rFonts w:eastAsia="Verdana" w:cs="Verdana"/>
          <w:color w:val="000000" w:themeColor="text1"/>
        </w:rPr>
        <w:t>Se debe mencionar también que, sin dejar de lado la gestión documental, la automatización y digitalización de los trámites se han armonizado con los procesos para que las interacciones de las automatizaciones construyan los expedientes electrónicos correspondientes en el SGDEA-ARGO de la entidad.</w:t>
      </w:r>
    </w:p>
    <w:p w14:paraId="032CE36E" w14:textId="16D60DEA" w:rsidR="5EC2D718" w:rsidRDefault="5EC2D718" w:rsidP="642B55D5">
      <w:pPr>
        <w:rPr>
          <w:rFonts w:eastAsia="Verdana" w:cs="Verdana"/>
          <w:b/>
          <w:bCs/>
          <w:color w:val="000000" w:themeColor="text1"/>
          <w:sz w:val="24"/>
          <w:szCs w:val="24"/>
        </w:rPr>
      </w:pPr>
      <w:r w:rsidRPr="642B55D5">
        <w:rPr>
          <w:rFonts w:asciiTheme="minorHAnsi" w:eastAsiaTheme="minorEastAsia" w:hAnsiTheme="minorHAnsi"/>
          <w:b/>
          <w:bCs/>
          <w:color w:val="000000" w:themeColor="text1"/>
          <w:sz w:val="24"/>
          <w:szCs w:val="24"/>
        </w:rPr>
        <w:t>8.</w:t>
      </w:r>
      <w:r w:rsidR="56FB541D" w:rsidRPr="642B55D5">
        <w:rPr>
          <w:rFonts w:asciiTheme="minorHAnsi" w:eastAsiaTheme="minorEastAsia" w:hAnsiTheme="minorHAnsi"/>
          <w:b/>
          <w:bCs/>
          <w:color w:val="000000" w:themeColor="text1"/>
          <w:sz w:val="24"/>
          <w:szCs w:val="24"/>
        </w:rPr>
        <w:t>1.</w:t>
      </w:r>
      <w:r w:rsidRPr="642B55D5">
        <w:rPr>
          <w:rFonts w:asciiTheme="minorHAnsi" w:eastAsiaTheme="minorEastAsia" w:hAnsiTheme="minorHAnsi"/>
          <w:b/>
          <w:bCs/>
          <w:color w:val="000000" w:themeColor="text1"/>
          <w:sz w:val="24"/>
          <w:szCs w:val="24"/>
        </w:rPr>
        <w:t>2 Período 2023 - 2024</w:t>
      </w:r>
    </w:p>
    <w:p w14:paraId="27D2AD48" w14:textId="4A1C5FD6" w:rsidR="4613A3A2" w:rsidRDefault="4613A3A2" w:rsidP="642B55D5">
      <w:pPr>
        <w:rPr>
          <w:rFonts w:eastAsia="Verdana" w:cs="Verdana"/>
          <w:b/>
          <w:bCs/>
          <w:color w:val="000000" w:themeColor="text1"/>
          <w:u w:val="single"/>
        </w:rPr>
      </w:pPr>
      <w:r w:rsidRPr="642B55D5">
        <w:rPr>
          <w:rFonts w:asciiTheme="minorHAnsi" w:eastAsiaTheme="minorEastAsia" w:hAnsiTheme="minorHAnsi"/>
          <w:b/>
          <w:bCs/>
          <w:color w:val="000000" w:themeColor="text1"/>
          <w:u w:val="single"/>
        </w:rPr>
        <w:t>Fortalecimiento de la relación con la ciudadanía a través de tecnologías digitales</w:t>
      </w:r>
    </w:p>
    <w:p w14:paraId="2CE76BDD" w14:textId="1BB7351A" w:rsidR="5EC2D718" w:rsidRDefault="5EC2D718" w:rsidP="642B55D5">
      <w:pPr>
        <w:rPr>
          <w:rFonts w:eastAsia="Verdana" w:cs="Verdana"/>
          <w:color w:val="000000" w:themeColor="text1"/>
        </w:rPr>
      </w:pPr>
      <w:r w:rsidRPr="642B55D5">
        <w:rPr>
          <w:rFonts w:eastAsia="Verdana" w:cs="Verdana"/>
          <w:color w:val="000000" w:themeColor="text1"/>
        </w:rPr>
        <w:t xml:space="preserve">Desde el Grupo de Relacionamiento con el Ciudadano y Gestión de la Información, se realiza la Caracterización de Ciudadanos y Grupos de Valor, que permiten identificar las características de estos, a partir de ahí surten necesidades de gestionar acciones adecuadas para el establecimiento de nuevas tecnologías que permitan avanzar y mejorar la relación de la ciudadanía con el Ministerio. </w:t>
      </w:r>
    </w:p>
    <w:p w14:paraId="074BEF8F" w14:textId="001EDE15" w:rsidR="5EC2D718" w:rsidRDefault="5EC2D718" w:rsidP="642B55D5">
      <w:pPr>
        <w:rPr>
          <w:rFonts w:eastAsia="Verdana" w:cs="Verdana"/>
          <w:color w:val="000000" w:themeColor="text1"/>
        </w:rPr>
      </w:pPr>
      <w:r w:rsidRPr="642B55D5">
        <w:rPr>
          <w:rFonts w:eastAsia="Verdana" w:cs="Verdana"/>
          <w:color w:val="000000" w:themeColor="text1"/>
        </w:rPr>
        <w:t>Así las cosas, desde el Grupo antes mencionado y con el apoyo del Grupo de Tecnologías de la Información, se han venido adelantando actividades para mejorar la eficiencia, la innovación y la competitividad de la entidad, y hacer más accesible, intuitiva y transparente la comunicación de los grupos de valor con la Entidad, de esta manera se han alcanzado entre otros logros los siguientes.</w:t>
      </w:r>
    </w:p>
    <w:p w14:paraId="25A1CA0D" w14:textId="181017C2" w:rsidR="6983E1C3" w:rsidRDefault="6983E1C3" w:rsidP="642B55D5">
      <w:pPr>
        <w:rPr>
          <w:rFonts w:asciiTheme="minorHAnsi" w:eastAsiaTheme="minorEastAsia" w:hAnsiTheme="minorHAnsi"/>
          <w:b/>
          <w:bCs/>
          <w:color w:val="000000" w:themeColor="text1"/>
          <w:sz w:val="24"/>
          <w:szCs w:val="24"/>
        </w:rPr>
      </w:pPr>
      <w:r w:rsidRPr="642B55D5">
        <w:rPr>
          <w:rFonts w:asciiTheme="minorHAnsi" w:eastAsiaTheme="minorEastAsia" w:hAnsiTheme="minorHAnsi"/>
          <w:b/>
          <w:bCs/>
          <w:color w:val="000000" w:themeColor="text1"/>
          <w:sz w:val="24"/>
          <w:szCs w:val="24"/>
        </w:rPr>
        <w:t>8.</w:t>
      </w:r>
      <w:r w:rsidR="438325FB" w:rsidRPr="642B55D5">
        <w:rPr>
          <w:rFonts w:asciiTheme="minorHAnsi" w:eastAsiaTheme="minorEastAsia" w:hAnsiTheme="minorHAnsi"/>
          <w:b/>
          <w:bCs/>
          <w:color w:val="000000" w:themeColor="text1"/>
          <w:sz w:val="24"/>
          <w:szCs w:val="24"/>
        </w:rPr>
        <w:t>1.</w:t>
      </w:r>
      <w:r w:rsidRPr="642B55D5">
        <w:rPr>
          <w:rFonts w:asciiTheme="minorHAnsi" w:eastAsiaTheme="minorEastAsia" w:hAnsiTheme="minorHAnsi"/>
          <w:b/>
          <w:bCs/>
          <w:color w:val="000000" w:themeColor="text1"/>
          <w:sz w:val="24"/>
          <w:szCs w:val="24"/>
        </w:rPr>
        <w:t>3 Período 2024</w:t>
      </w:r>
      <w:r w:rsidR="0A928BBC" w:rsidRPr="642B55D5">
        <w:rPr>
          <w:rFonts w:asciiTheme="minorHAnsi" w:eastAsiaTheme="minorEastAsia" w:hAnsiTheme="minorHAnsi"/>
          <w:b/>
          <w:bCs/>
          <w:color w:val="000000" w:themeColor="text1"/>
          <w:sz w:val="24"/>
          <w:szCs w:val="24"/>
        </w:rPr>
        <w:t xml:space="preserve"> – </w:t>
      </w:r>
      <w:r w:rsidRPr="642B55D5">
        <w:rPr>
          <w:rFonts w:asciiTheme="minorHAnsi" w:eastAsiaTheme="minorEastAsia" w:hAnsiTheme="minorHAnsi"/>
          <w:b/>
          <w:bCs/>
          <w:color w:val="000000" w:themeColor="text1"/>
          <w:sz w:val="24"/>
          <w:szCs w:val="24"/>
        </w:rPr>
        <w:t>2025</w:t>
      </w:r>
    </w:p>
    <w:p w14:paraId="63DBC0D7" w14:textId="74D2BF51" w:rsidR="0A928BBC" w:rsidRDefault="0A928BBC"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Desarrollo de soluciones digitales y fortalecimiento de servicios para los grupos de valor</w:t>
      </w:r>
    </w:p>
    <w:p w14:paraId="09343DFB" w14:textId="010CF1D1" w:rsidR="466A0368" w:rsidRDefault="466A0368" w:rsidP="642B55D5">
      <w:pPr>
        <w:rPr>
          <w:rFonts w:eastAsia="Verdana" w:cs="Verdana"/>
          <w:color w:val="000000" w:themeColor="text1"/>
        </w:rPr>
      </w:pPr>
      <w:r w:rsidRPr="642B55D5">
        <w:t>Las Tecnologías de la Información y las Comunicaciones (TIC) se han orientado al fortalecimiento de la gestión institucional mediante la implementación de soluciones digitales alineadas con la Política de Gobierno Digital y el Marco de Referencia de Arquitectura Empresarial (MRAE V3.0) del MinTIC.</w:t>
      </w:r>
    </w:p>
    <w:p w14:paraId="1B124E61" w14:textId="360FCF76" w:rsidR="466A0368" w:rsidRDefault="466A0368" w:rsidP="642B55D5">
      <w:r w:rsidRPr="642B55D5">
        <w:t>Entre 2024 y mayo de 2025, se han logrado avances significativos en el fortalecimiento de sistemas de información clave y en el desarrollo de nuevos aplicativos, priorizando la usabilidad, accesibilidad y la atención a las necesidades de los grupos de valor. Estas acciones han contribuido a mejorar el acceso a la información, optimizar la eficiencia operativa y elevar la calidad de los servicios prestados.</w:t>
      </w:r>
    </w:p>
    <w:p w14:paraId="163E9D7F" w14:textId="055A1BDA" w:rsidR="466A0368" w:rsidRDefault="466A0368" w:rsidP="642B55D5">
      <w:r w:rsidRPr="642B55D5">
        <w:t>A corte del 31 de diciembre de 2024, se destacan los siguientes desarrollos de software orientados a fortalecer la participación ciudadana, la transparencia y el acceso a la información:</w:t>
      </w:r>
    </w:p>
    <w:p w14:paraId="31A2386E" w14:textId="05DD228A" w:rsidR="466A0368" w:rsidRDefault="466A0368" w:rsidP="642B55D5">
      <w:pPr>
        <w:pStyle w:val="ListParagraph"/>
        <w:rPr>
          <w:rFonts w:eastAsia="Verdana" w:cs="Verdana"/>
        </w:rPr>
      </w:pPr>
      <w:r w:rsidRPr="642B55D5">
        <w:rPr>
          <w:rFonts w:eastAsia="Verdana" w:cs="Verdana"/>
        </w:rPr>
        <w:t xml:space="preserve">Energía del Cambio: aplicación móvil enfocada en facturación y transición energética. </w:t>
      </w:r>
    </w:p>
    <w:p w14:paraId="1C348A0F" w14:textId="73B9033C" w:rsidR="466A0368" w:rsidRDefault="466A0368" w:rsidP="642B55D5">
      <w:pPr>
        <w:pStyle w:val="ListParagraph"/>
        <w:spacing w:after="0"/>
        <w:rPr>
          <w:rFonts w:eastAsia="Verdana" w:cs="Verdana"/>
        </w:rPr>
      </w:pPr>
      <w:r w:rsidRPr="642B55D5">
        <w:rPr>
          <w:rFonts w:eastAsia="Verdana" w:cs="Verdana"/>
        </w:rPr>
        <w:t xml:space="preserve">App de encuestas: herramienta para la recolección y análisis de formularios institucionales. </w:t>
      </w:r>
    </w:p>
    <w:p w14:paraId="648D26F7" w14:textId="143D532B" w:rsidR="466A0368" w:rsidRDefault="466A0368" w:rsidP="642B55D5">
      <w:pPr>
        <w:pStyle w:val="ListParagraph"/>
        <w:spacing w:after="0"/>
        <w:rPr>
          <w:rFonts w:eastAsia="Verdana" w:cs="Verdana"/>
        </w:rPr>
      </w:pPr>
      <w:r w:rsidRPr="642B55D5">
        <w:rPr>
          <w:rFonts w:eastAsia="Verdana" w:cs="Verdana"/>
        </w:rPr>
        <w:t xml:space="preserve">Micrositio IDE-ME: plataforma de acceso público a datos geoespaciales del sector. </w:t>
      </w:r>
    </w:p>
    <w:p w14:paraId="64571FB2" w14:textId="6809187B" w:rsidR="466A0368" w:rsidRDefault="466A0368" w:rsidP="642B55D5">
      <w:pPr>
        <w:pStyle w:val="ListParagraph"/>
        <w:spacing w:after="0"/>
        <w:rPr>
          <w:rFonts w:eastAsia="Verdana" w:cs="Verdana"/>
        </w:rPr>
      </w:pPr>
      <w:r w:rsidRPr="642B55D5">
        <w:rPr>
          <w:rFonts w:eastAsia="Verdana" w:cs="Verdana"/>
        </w:rPr>
        <w:t>Buzón de integridad: canal confidencial para el reporte de posibles conflictos de interés.</w:t>
      </w:r>
    </w:p>
    <w:p w14:paraId="7963E19D" w14:textId="2062B313" w:rsidR="642B55D5" w:rsidRDefault="642B55D5" w:rsidP="642B55D5">
      <w:pPr>
        <w:pStyle w:val="ListParagraph"/>
        <w:numPr>
          <w:ilvl w:val="0"/>
          <w:numId w:val="0"/>
        </w:numPr>
        <w:spacing w:after="0"/>
        <w:ind w:left="720"/>
        <w:rPr>
          <w:rFonts w:eastAsia="Verdana" w:cs="Verdana"/>
        </w:rPr>
      </w:pPr>
    </w:p>
    <w:p w14:paraId="09C8789F" w14:textId="4B7D3737" w:rsidR="466A0368" w:rsidRDefault="466A0368" w:rsidP="642B55D5">
      <w:r w:rsidRPr="642B55D5">
        <w:t>Por su parte, a corte del 31 de mayo de 2025, se resaltan las soluciones orientadas al fortalecimiento de la operación tecnológica institucional y la mejora de la eficiencia interna:</w:t>
      </w:r>
    </w:p>
    <w:p w14:paraId="3ACA400D" w14:textId="5655115E" w:rsidR="466A0368" w:rsidRDefault="466A0368" w:rsidP="642B55D5">
      <w:pPr>
        <w:pStyle w:val="ListParagraph"/>
      </w:pPr>
      <w:r w:rsidRPr="642B55D5">
        <w:t xml:space="preserve">Mesa de Ayuda GLPI: sistema de soporte técnico de primer y segundo nivel. </w:t>
      </w:r>
    </w:p>
    <w:p w14:paraId="5753E275" w14:textId="34B88EC5" w:rsidR="466A0368" w:rsidRDefault="466A0368" w:rsidP="642B55D5">
      <w:pPr>
        <w:pStyle w:val="ListParagraph"/>
      </w:pPr>
      <w:r w:rsidRPr="642B55D5">
        <w:t xml:space="preserve">Control de Proyectos TAIGA: herramienta para el seguimiento integral de proyectos de TI. </w:t>
      </w:r>
    </w:p>
    <w:p w14:paraId="1B179970" w14:textId="237CA991" w:rsidR="466A0368" w:rsidRDefault="466A0368" w:rsidP="642B55D5">
      <w:pPr>
        <w:pStyle w:val="ListParagraph"/>
      </w:pPr>
      <w:r w:rsidRPr="642B55D5">
        <w:t xml:space="preserve">Carnet digital: sistema de identificación en tiempo real para colaboradores. </w:t>
      </w:r>
    </w:p>
    <w:p w14:paraId="79DC0C09" w14:textId="1A41324E" w:rsidR="466A0368" w:rsidRDefault="466A0368" w:rsidP="642B55D5">
      <w:pPr>
        <w:pStyle w:val="ListParagraph"/>
      </w:pPr>
      <w:r w:rsidRPr="642B55D5">
        <w:t xml:space="preserve">Asistencia digital: solución para la gestión de asistencia a eventos, con generación de reportes y estadísticas. </w:t>
      </w:r>
    </w:p>
    <w:p w14:paraId="6E12E8AC" w14:textId="1A304F3A" w:rsidR="466A0368" w:rsidRDefault="466A0368" w:rsidP="642B55D5">
      <w:pPr>
        <w:pStyle w:val="ListParagraph"/>
      </w:pPr>
      <w:r w:rsidRPr="642B55D5">
        <w:t xml:space="preserve">Registro de contenedores Docker: plataforma para la administración segura de imágenes en entornos controlados. </w:t>
      </w:r>
    </w:p>
    <w:p w14:paraId="696FF324" w14:textId="30CFF32A" w:rsidR="466A0368" w:rsidRDefault="466A0368" w:rsidP="642B55D5">
      <w:r w:rsidRPr="642B55D5">
        <w:t>El Ministerio de Minas y Energía actualizó sus principales plataformas digitales, optimizando funcionalidades, interfaces y capacidades de reporte en sistemas como el Portal Web, CargaME, SIVEEIC, SISEG, SIGAME, EITI, la Intranet e IDE-ME. Estas mejoras han fortalecido la eficiencia, la accesibilidad y el proceso de modernización tecnológica institucional.</w:t>
      </w:r>
    </w:p>
    <w:p w14:paraId="222DB386" w14:textId="402B8E6A" w:rsidR="466A0368" w:rsidRDefault="466A0368" w:rsidP="642B55D5">
      <w:pPr>
        <w:spacing w:before="240" w:after="240"/>
      </w:pPr>
      <w:r w:rsidRPr="642B55D5">
        <w:rPr>
          <w:rFonts w:eastAsia="Verdana" w:cs="Verdana"/>
        </w:rPr>
        <w:t>Adicionalmente se fortaleció el uso de las plataformas Intégrame (datos estadísticos) e IDE-ME (datos geoespaciales), mediante la articulación con universidades y actores del sector en 9 ciudades del país.</w:t>
      </w:r>
    </w:p>
    <w:p w14:paraId="31502F08" w14:textId="244B513D" w:rsidR="466A0368" w:rsidRDefault="466A0368" w:rsidP="642B55D5">
      <w:pPr>
        <w:pStyle w:val="ListParagraph"/>
        <w:spacing w:after="0"/>
        <w:rPr>
          <w:rFonts w:eastAsia="Verdana" w:cs="Verdana"/>
        </w:rPr>
      </w:pPr>
      <w:r w:rsidRPr="642B55D5">
        <w:rPr>
          <w:rFonts w:eastAsia="Verdana" w:cs="Verdana"/>
        </w:rPr>
        <w:t xml:space="preserve">Intégrame: 28.475 visitas, 8.711 usuarios únicos y 99 tableros, de los cuales 86 son públicos. </w:t>
      </w:r>
    </w:p>
    <w:p w14:paraId="5BAE3335" w14:textId="06D5FF9F" w:rsidR="466A0368" w:rsidRDefault="466A0368" w:rsidP="642B55D5">
      <w:pPr>
        <w:pStyle w:val="ListParagraph"/>
        <w:spacing w:after="0"/>
        <w:rPr>
          <w:rFonts w:eastAsia="Verdana" w:cs="Verdana"/>
        </w:rPr>
      </w:pPr>
      <w:r w:rsidRPr="642B55D5">
        <w:rPr>
          <w:rFonts w:eastAsia="Verdana" w:cs="Verdana"/>
        </w:rPr>
        <w:t xml:space="preserve">IDE-ME: 1.308 visitas, 739 usuarios únicos y 1.043 capas de información, de las cuales 265 son propias. </w:t>
      </w:r>
    </w:p>
    <w:p w14:paraId="46DBF8B6" w14:textId="31785CD3" w:rsidR="466A0368" w:rsidRDefault="466A0368" w:rsidP="642B55D5">
      <w:pPr>
        <w:spacing w:before="240" w:after="240"/>
      </w:pPr>
      <w:r w:rsidRPr="16B512B3">
        <w:rPr>
          <w:rFonts w:eastAsia="Verdana" w:cs="Verdana"/>
        </w:rPr>
        <w:t>Ambas plataformas se consolidan como referentes en el acceso, consulta y aprovechamiento de datos abiertos del sector minero-energético.</w:t>
      </w:r>
    </w:p>
    <w:p w14:paraId="568D19D3" w14:textId="401F7319" w:rsidR="494C8AF7" w:rsidRDefault="45250AAD" w:rsidP="77689C34">
      <w:pPr>
        <w:rPr>
          <w:rFonts w:eastAsia="Verdana" w:cs="Verdana"/>
          <w:color w:val="FF0000"/>
        </w:rPr>
      </w:pPr>
      <w:r w:rsidRPr="77689C34">
        <w:rPr>
          <w:rFonts w:asciiTheme="minorHAnsi" w:eastAsiaTheme="minorEastAsia" w:hAnsiTheme="minorHAnsi"/>
          <w:b/>
          <w:bCs/>
          <w:color w:val="000000" w:themeColor="text1"/>
          <w:sz w:val="24"/>
          <w:szCs w:val="24"/>
        </w:rPr>
        <w:t xml:space="preserve">8.1.4 Período </w:t>
      </w:r>
      <w:r w:rsidR="494C8AF7" w:rsidRPr="77689C34">
        <w:rPr>
          <w:rFonts w:asciiTheme="minorHAnsi" w:eastAsiaTheme="minorEastAsia" w:hAnsiTheme="minorHAnsi"/>
          <w:b/>
          <w:bCs/>
          <w:color w:val="000000" w:themeColor="text1"/>
          <w:sz w:val="24"/>
          <w:szCs w:val="24"/>
        </w:rPr>
        <w:t>2025</w:t>
      </w:r>
      <w:r w:rsidR="5D203BF8" w:rsidRPr="77689C34">
        <w:rPr>
          <w:rFonts w:asciiTheme="minorHAnsi" w:eastAsiaTheme="minorEastAsia" w:hAnsiTheme="minorHAnsi"/>
          <w:b/>
          <w:bCs/>
          <w:color w:val="000000" w:themeColor="text1"/>
          <w:sz w:val="24"/>
          <w:szCs w:val="24"/>
        </w:rPr>
        <w:t xml:space="preserve"> – </w:t>
      </w:r>
      <w:r w:rsidR="0328DE18" w:rsidRPr="77689C34">
        <w:rPr>
          <w:rFonts w:asciiTheme="minorHAnsi" w:eastAsiaTheme="minorEastAsia" w:hAnsiTheme="minorHAnsi"/>
          <w:b/>
          <w:bCs/>
          <w:color w:val="000000" w:themeColor="text1"/>
          <w:sz w:val="24"/>
          <w:szCs w:val="24"/>
        </w:rPr>
        <w:t>2026</w:t>
      </w:r>
    </w:p>
    <w:p w14:paraId="49794EAB" w14:textId="017FE250" w:rsidR="77665741" w:rsidRDefault="77665741" w:rsidP="77689C34">
      <w:pPr>
        <w:spacing w:before="120" w:after="120"/>
      </w:pPr>
      <w:r w:rsidRPr="77689C34">
        <w:rPr>
          <w:rFonts w:ascii="Calibri" w:eastAsia="Calibri" w:hAnsi="Calibri" w:cs="Calibri"/>
          <w:b/>
          <w:bCs/>
          <w:color w:val="000000" w:themeColor="text1"/>
          <w:u w:val="single"/>
        </w:rPr>
        <w:t>Consolidación del portafolio digital y modernización de los sistemas misionales del sector</w:t>
      </w:r>
    </w:p>
    <w:p w14:paraId="6BBE65A5" w14:textId="3CDF6653" w:rsidR="5DDCD753" w:rsidRDefault="5DDCD753" w:rsidP="77689C34">
      <w:pPr>
        <w:spacing w:before="120" w:after="120"/>
      </w:pPr>
      <w:r w:rsidRPr="77689C34">
        <w:rPr>
          <w:rFonts w:eastAsia="Verdana" w:cs="Verdana"/>
          <w:color w:val="000000" w:themeColor="text1"/>
        </w:rPr>
        <w:t>E</w:t>
      </w:r>
      <w:r w:rsidR="422D7101" w:rsidRPr="77689C34">
        <w:rPr>
          <w:rFonts w:eastAsia="Verdana" w:cs="Verdana"/>
          <w:color w:val="000000" w:themeColor="text1"/>
        </w:rPr>
        <w:t xml:space="preserve">l Ministerio de Minas y Energía fortaleció el uso de las Tecnologías de la Información y las Comunicaciones (TIC) como instrumento clave </w:t>
      </w:r>
      <w:r w:rsidR="6E1E4B6B" w:rsidRPr="77689C34">
        <w:rPr>
          <w:rFonts w:eastAsia="Verdana" w:cs="Verdana"/>
          <w:color w:val="000000" w:themeColor="text1"/>
        </w:rPr>
        <w:t>con el fin de</w:t>
      </w:r>
      <w:r w:rsidR="422D7101" w:rsidRPr="77689C34">
        <w:rPr>
          <w:rFonts w:eastAsia="Verdana" w:cs="Verdana"/>
          <w:color w:val="000000" w:themeColor="text1"/>
        </w:rPr>
        <w:t xml:space="preserve"> mejorar la relación con sus grupos de valor </w:t>
      </w:r>
      <w:r w:rsidR="3AC9A53E" w:rsidRPr="77689C34">
        <w:rPr>
          <w:rFonts w:eastAsia="Verdana" w:cs="Verdana"/>
          <w:color w:val="000000" w:themeColor="text1"/>
        </w:rPr>
        <w:t xml:space="preserve">con la </w:t>
      </w:r>
      <w:r w:rsidR="422D7101" w:rsidRPr="77689C34">
        <w:rPr>
          <w:rFonts w:eastAsia="Verdana" w:cs="Verdana"/>
          <w:color w:val="000000" w:themeColor="text1"/>
        </w:rPr>
        <w:t xml:space="preserve">ciudadanía, operadores y comercializadores del sector </w:t>
      </w:r>
      <w:r w:rsidR="07D320D9" w:rsidRPr="77689C34">
        <w:rPr>
          <w:rFonts w:eastAsia="Verdana" w:cs="Verdana"/>
          <w:color w:val="000000" w:themeColor="text1"/>
        </w:rPr>
        <w:t>M</w:t>
      </w:r>
      <w:r w:rsidR="422D7101" w:rsidRPr="77689C34">
        <w:rPr>
          <w:rFonts w:eastAsia="Verdana" w:cs="Verdana"/>
          <w:color w:val="000000" w:themeColor="text1"/>
        </w:rPr>
        <w:t>inero</w:t>
      </w:r>
      <w:r>
        <w:noBreakHyphen/>
      </w:r>
      <w:r w:rsidR="41D9A6C6" w:rsidRPr="77689C34">
        <w:rPr>
          <w:rFonts w:eastAsia="Verdana" w:cs="Verdana"/>
          <w:color w:val="000000" w:themeColor="text1"/>
        </w:rPr>
        <w:t>E</w:t>
      </w:r>
      <w:r w:rsidR="422D7101" w:rsidRPr="77689C34">
        <w:rPr>
          <w:rFonts w:eastAsia="Verdana" w:cs="Verdana"/>
          <w:color w:val="000000" w:themeColor="text1"/>
        </w:rPr>
        <w:t>nergético, entidades reportantes y aliados institucionales, en línea con la Política de Gobierno Digital, el Marco de Referencia de Arquitectura Empresarial (MRAE V3.0) del MinTIC y los Planes Estratégicos de Tecnologías de la Información (PETI) 2020</w:t>
      </w:r>
      <w:r>
        <w:noBreakHyphen/>
      </w:r>
      <w:r w:rsidR="422D7101" w:rsidRPr="77689C34">
        <w:rPr>
          <w:rFonts w:eastAsia="Verdana" w:cs="Verdana"/>
          <w:color w:val="000000" w:themeColor="text1"/>
        </w:rPr>
        <w:t>2023 y 2024</w:t>
      </w:r>
      <w:r>
        <w:noBreakHyphen/>
      </w:r>
      <w:r w:rsidR="422D7101" w:rsidRPr="77689C34">
        <w:rPr>
          <w:rFonts w:eastAsia="Verdana" w:cs="Verdana"/>
          <w:color w:val="000000" w:themeColor="text1"/>
        </w:rPr>
        <w:t>2027.</w:t>
      </w:r>
    </w:p>
    <w:p w14:paraId="71A58776" w14:textId="6FC09015" w:rsidR="422D7101" w:rsidRDefault="422D7101" w:rsidP="77689C34">
      <w:pPr>
        <w:spacing w:before="120" w:after="120"/>
      </w:pPr>
      <w:r w:rsidRPr="77689C34">
        <w:rPr>
          <w:rFonts w:eastAsia="Verdana" w:cs="Verdana"/>
          <w:color w:val="000000" w:themeColor="text1"/>
        </w:rPr>
        <w:t xml:space="preserve">El portafolio de productos y servicios digitales se amplió y </w:t>
      </w:r>
      <w:r w:rsidR="2F1C104E" w:rsidRPr="6419F07F">
        <w:rPr>
          <w:rFonts w:eastAsia="Verdana" w:cs="Verdana"/>
          <w:color w:val="000000" w:themeColor="text1"/>
        </w:rPr>
        <w:t>actualizó</w:t>
      </w:r>
      <w:r w:rsidRPr="77689C34">
        <w:rPr>
          <w:rFonts w:eastAsia="Verdana" w:cs="Verdana"/>
          <w:color w:val="000000" w:themeColor="text1"/>
        </w:rPr>
        <w:t xml:space="preserve"> de manera progresiva: se renovó el portal web institucional bajo criterios de accesibilidad y seguridad; se consolidaron plataformas sectoriales de aprovechamiento de datos como Intégrame (datos estadísticos) e IDE</w:t>
      </w:r>
      <w:r>
        <w:noBreakHyphen/>
      </w:r>
      <w:r w:rsidRPr="77689C34">
        <w:rPr>
          <w:rFonts w:eastAsia="Verdana" w:cs="Verdana"/>
          <w:color w:val="000000" w:themeColor="text1"/>
        </w:rPr>
        <w:t>ME (datos geoespaciales); se digitalizaron y automatizaron trámites prioritarios entre ellos la Declaratoria de Utilidad Pública de Interés Social (DUPIS) y la Exploración de Recurso Geotérmico</w:t>
      </w:r>
      <w:r w:rsidRPr="4DD799BB">
        <w:rPr>
          <w:rFonts w:eastAsia="Verdana" w:cs="Verdana"/>
          <w:color w:val="000000" w:themeColor="text1"/>
        </w:rPr>
        <w:t>;</w:t>
      </w:r>
      <w:r w:rsidRPr="77689C34">
        <w:rPr>
          <w:rFonts w:eastAsia="Verdana" w:cs="Verdana"/>
          <w:color w:val="000000" w:themeColor="text1"/>
        </w:rPr>
        <w:t xml:space="preserve"> se desplegaron nuevas soluciones digitales orientadas a la participación ciudadana y la transparencia (Energía del Cambio, Buzón de Integridad, EITI Reportes, micrositio IDE</w:t>
      </w:r>
      <w:r>
        <w:noBreakHyphen/>
      </w:r>
      <w:r w:rsidRPr="77689C34">
        <w:rPr>
          <w:rFonts w:eastAsia="Verdana" w:cs="Verdana"/>
          <w:color w:val="000000" w:themeColor="text1"/>
        </w:rPr>
        <w:t>ME); y se reconstruyeron sobre arquitecturas modernas los sistemas misionales que soportan la operación del sector (SISEG v3.0, SIGPAC v1.0.0 y FondoBecas v2.0).</w:t>
      </w:r>
    </w:p>
    <w:p w14:paraId="3ACB22F3" w14:textId="798A83A4" w:rsidR="422D7101" w:rsidRDefault="422D7101" w:rsidP="77689C34">
      <w:pPr>
        <w:spacing w:before="120" w:after="240"/>
        <w:rPr>
          <w:rFonts w:eastAsia="Verdana" w:cs="Verdana"/>
          <w:color w:val="000000" w:themeColor="text1"/>
        </w:rPr>
      </w:pPr>
      <w:r w:rsidRPr="77689C34">
        <w:rPr>
          <w:rFonts w:eastAsia="Verdana" w:cs="Verdana"/>
          <w:color w:val="000000" w:themeColor="text1"/>
        </w:rPr>
        <w:t xml:space="preserve">De manera transversal, estas acciones se respaldaron con prácticas de ingeniería de software institucionalizadas: gestión del código fuente bajo Git en repositorios corporativos (Bitbucket y GitLab interno), versionamiento semántico de los entregables, despliegue escalonado entre ambientes de desarrollo, pruebas y producción, trazabilidad por historias de usuario y revisión por pares mediante pull/merge requests. Como resultado, el Ministerio cierra el cuatrienio con un portafolio digital más amplio, más seguro y </w:t>
      </w:r>
      <w:r w:rsidR="4D6A659D" w:rsidRPr="2EE8839E">
        <w:rPr>
          <w:rFonts w:eastAsia="Verdana" w:cs="Verdana"/>
          <w:color w:val="000000" w:themeColor="text1"/>
        </w:rPr>
        <w:t xml:space="preserve">con mayor </w:t>
      </w:r>
      <w:r w:rsidR="4D6A659D" w:rsidRPr="33993CA7">
        <w:rPr>
          <w:rFonts w:eastAsia="Verdana" w:cs="Verdana"/>
          <w:color w:val="000000" w:themeColor="text1"/>
        </w:rPr>
        <w:t>usabilidad</w:t>
      </w:r>
      <w:r w:rsidRPr="33993CA7">
        <w:rPr>
          <w:rFonts w:eastAsia="Verdana" w:cs="Verdana"/>
          <w:color w:val="000000" w:themeColor="text1"/>
        </w:rPr>
        <w:t xml:space="preserve">, </w:t>
      </w:r>
      <w:r w:rsidR="3B63355B" w:rsidRPr="33993CA7">
        <w:rPr>
          <w:rFonts w:eastAsia="Verdana" w:cs="Verdana"/>
          <w:color w:val="000000" w:themeColor="text1"/>
        </w:rPr>
        <w:t xml:space="preserve">con alta </w:t>
      </w:r>
      <w:r w:rsidR="3B63355B" w:rsidRPr="5AECC0D3">
        <w:rPr>
          <w:rFonts w:eastAsia="Verdana" w:cs="Verdana"/>
          <w:color w:val="000000" w:themeColor="text1"/>
        </w:rPr>
        <w:t>capacidad</w:t>
      </w:r>
      <w:r w:rsidRPr="77689C34">
        <w:rPr>
          <w:rFonts w:eastAsia="Verdana" w:cs="Verdana"/>
          <w:color w:val="000000" w:themeColor="text1"/>
        </w:rPr>
        <w:t xml:space="preserve"> de prestar servicios de confianza a sus grupos de valor</w:t>
      </w:r>
      <w:r w:rsidR="72E0634E" w:rsidRPr="79E50305">
        <w:rPr>
          <w:rFonts w:eastAsia="Verdana" w:cs="Verdana"/>
          <w:color w:val="000000" w:themeColor="text1"/>
        </w:rPr>
        <w:t xml:space="preserve">, </w:t>
      </w:r>
      <w:r w:rsidR="72E0634E" w:rsidRPr="6279A0E1">
        <w:rPr>
          <w:rFonts w:eastAsia="Verdana" w:cs="Verdana"/>
          <w:color w:val="000000" w:themeColor="text1"/>
        </w:rPr>
        <w:t>a</w:t>
      </w:r>
      <w:r w:rsidRPr="77689C34">
        <w:rPr>
          <w:rFonts w:eastAsia="Verdana" w:cs="Verdana"/>
          <w:color w:val="000000" w:themeColor="text1"/>
        </w:rPr>
        <w:t xml:space="preserve"> continuación, se presentan avances por período:</w:t>
      </w:r>
    </w:p>
    <w:p w14:paraId="4486C17A" w14:textId="73B00AB6" w:rsidR="422D7101" w:rsidRDefault="422D7101" w:rsidP="77689C34">
      <w:pPr>
        <w:spacing w:before="120" w:after="120"/>
      </w:pPr>
      <w:r w:rsidRPr="77689C34">
        <w:rPr>
          <w:rFonts w:eastAsia="Verdana" w:cs="Verdana"/>
          <w:color w:val="000000" w:themeColor="text1"/>
        </w:rPr>
        <w:t xml:space="preserve">Durante el último tramo del cuatrienio, el Ministerio de Minas y Energía concentró sus esfuerzos en la modernización tecnológica de sistemas misionales </w:t>
      </w:r>
      <w:r w:rsidR="5EB4B2C2" w:rsidRPr="33818FF5">
        <w:rPr>
          <w:rFonts w:eastAsia="Verdana" w:cs="Verdana"/>
          <w:color w:val="000000" w:themeColor="text1"/>
        </w:rPr>
        <w:t xml:space="preserve">y </w:t>
      </w:r>
      <w:r w:rsidR="5EB4B2C2" w:rsidRPr="4E5F7794">
        <w:rPr>
          <w:rFonts w:eastAsia="Verdana" w:cs="Verdana"/>
          <w:color w:val="000000" w:themeColor="text1"/>
        </w:rPr>
        <w:t xml:space="preserve">estratégicos </w:t>
      </w:r>
      <w:r w:rsidRPr="4E5F7794">
        <w:rPr>
          <w:rFonts w:eastAsia="Verdana" w:cs="Verdana"/>
          <w:color w:val="000000" w:themeColor="text1"/>
        </w:rPr>
        <w:t>que</w:t>
      </w:r>
      <w:r w:rsidRPr="77689C34">
        <w:rPr>
          <w:rFonts w:eastAsia="Verdana" w:cs="Verdana"/>
          <w:color w:val="000000" w:themeColor="text1"/>
        </w:rPr>
        <w:t xml:space="preserve"> soportan la relación con los grupos de valor del sector </w:t>
      </w:r>
      <w:r w:rsidR="22D087D3" w:rsidRPr="6932875E">
        <w:rPr>
          <w:rFonts w:eastAsia="Verdana" w:cs="Verdana"/>
          <w:color w:val="000000" w:themeColor="text1"/>
        </w:rPr>
        <w:t>M</w:t>
      </w:r>
      <w:r w:rsidRPr="6932875E">
        <w:rPr>
          <w:rFonts w:eastAsia="Verdana" w:cs="Verdana"/>
          <w:color w:val="000000" w:themeColor="text1"/>
        </w:rPr>
        <w:t>inero</w:t>
      </w:r>
      <w:r w:rsidRPr="77689C34">
        <w:rPr>
          <w:rFonts w:eastAsia="Verdana" w:cs="Verdana"/>
          <w:color w:val="000000" w:themeColor="text1"/>
        </w:rPr>
        <w:t>-</w:t>
      </w:r>
      <w:r w:rsidR="1A3D81F0" w:rsidRPr="5FF74CE7">
        <w:rPr>
          <w:rFonts w:eastAsia="Verdana" w:cs="Verdana"/>
          <w:color w:val="000000" w:themeColor="text1"/>
        </w:rPr>
        <w:t>E</w:t>
      </w:r>
      <w:r w:rsidRPr="5FF74CE7">
        <w:rPr>
          <w:rFonts w:eastAsia="Verdana" w:cs="Verdana"/>
          <w:color w:val="000000" w:themeColor="text1"/>
        </w:rPr>
        <w:t>nergético</w:t>
      </w:r>
      <w:r w:rsidRPr="77689C34">
        <w:rPr>
          <w:rFonts w:eastAsia="Verdana" w:cs="Verdana"/>
          <w:color w:val="000000" w:themeColor="text1"/>
        </w:rPr>
        <w:t xml:space="preserve">, en línea con la Política de Gobierno Digital, el Marco de Referencia de Arquitectura Empresarial (MRAE V3.0) del MinTIC y el Plan Estratégico de Tecnologías de la Información (PETI) 2024-2027. La hoja de ruta priorizó la reconstrucción de plataformas críticas sobre arquitecturas modernas reemplazando componentes obsoletos por soluciones basadas en estándares abiertos y el fortalecimiento del control de versiones, la trazabilidad y la calidad del código mediante repositorios institucionales gestionados en Git, ramas de release, despliegues escalonados (desarrollo </w:t>
      </w:r>
      <w:r w:rsidR="79369F2F" w:rsidRPr="31C35A16">
        <w:rPr>
          <w:rFonts w:eastAsia="Verdana" w:cs="Verdana"/>
          <w:color w:val="000000" w:themeColor="text1"/>
        </w:rPr>
        <w:t>–</w:t>
      </w:r>
      <w:r w:rsidRPr="77689C34">
        <w:rPr>
          <w:rFonts w:eastAsia="Verdana" w:cs="Verdana"/>
          <w:color w:val="000000" w:themeColor="text1"/>
        </w:rPr>
        <w:t xml:space="preserve"> pruebas </w:t>
      </w:r>
      <w:r w:rsidR="79369F2F" w:rsidRPr="0A14AD67">
        <w:rPr>
          <w:rFonts w:eastAsia="Verdana" w:cs="Verdana"/>
          <w:color w:val="000000" w:themeColor="text1"/>
        </w:rPr>
        <w:t>-</w:t>
      </w:r>
      <w:r w:rsidRPr="77689C34">
        <w:rPr>
          <w:rFonts w:eastAsia="Verdana" w:cs="Verdana"/>
          <w:color w:val="000000" w:themeColor="text1"/>
        </w:rPr>
        <w:t xml:space="preserve"> producción) y procesos de revisión por pares (pull/merge requests).</w:t>
      </w:r>
    </w:p>
    <w:p w14:paraId="6FCFD37F" w14:textId="411192FD" w:rsidR="422D7101" w:rsidRDefault="422D7101" w:rsidP="77689C34">
      <w:pPr>
        <w:spacing w:before="120" w:after="120"/>
      </w:pPr>
      <w:r w:rsidRPr="77689C34">
        <w:rPr>
          <w:rFonts w:eastAsia="Verdana" w:cs="Verdana"/>
          <w:color w:val="000000" w:themeColor="text1"/>
        </w:rPr>
        <w:t>A corte del 31 de marzo de 2026 se destacan los siguientes desarrollos y entregas, todos orientados a fortalecer la atención a operadores, comercializadores, usuarios institucionales y ciudadanía:</w:t>
      </w:r>
    </w:p>
    <w:p w14:paraId="7FD39E8F" w14:textId="0376E02C" w:rsidR="422D7101" w:rsidRDefault="422D7101" w:rsidP="148DC465">
      <w:pPr>
        <w:pStyle w:val="ListParagraph"/>
        <w:spacing w:after="0"/>
        <w:rPr>
          <w:rFonts w:eastAsia="Verdana" w:cs="Verdana"/>
          <w:color w:val="000000" w:themeColor="text1"/>
        </w:rPr>
      </w:pPr>
      <w:r w:rsidRPr="77689C34">
        <w:rPr>
          <w:rFonts w:eastAsia="Verdana" w:cs="Verdana"/>
          <w:b/>
          <w:bCs/>
          <w:color w:val="000000" w:themeColor="text1"/>
        </w:rPr>
        <w:t xml:space="preserve">SISEG v3.0 — Sistema de Información de Subsidios para Energía y Gas: </w:t>
      </w:r>
      <w:r w:rsidRPr="77689C34">
        <w:rPr>
          <w:rFonts w:eastAsia="Verdana" w:cs="Verdana"/>
          <w:color w:val="000000" w:themeColor="text1"/>
        </w:rPr>
        <w:t xml:space="preserve">se </w:t>
      </w:r>
      <w:r w:rsidR="23F77BA6" w:rsidRPr="33818FF5">
        <w:rPr>
          <w:rFonts w:eastAsia="Verdana" w:cs="Verdana"/>
          <w:color w:val="000000" w:themeColor="text1"/>
        </w:rPr>
        <w:t>implementó</w:t>
      </w:r>
      <w:r w:rsidRPr="77689C34">
        <w:rPr>
          <w:rFonts w:eastAsia="Verdana" w:cs="Verdana"/>
          <w:color w:val="000000" w:themeColor="text1"/>
        </w:rPr>
        <w:t xml:space="preserve"> la </w:t>
      </w:r>
      <w:r w:rsidRPr="08912705">
        <w:rPr>
          <w:rFonts w:eastAsia="Verdana" w:cs="Verdana"/>
          <w:color w:val="000000" w:themeColor="text1"/>
        </w:rPr>
        <w:t>re</w:t>
      </w:r>
      <w:r w:rsidR="269C07DF" w:rsidRPr="08912705">
        <w:rPr>
          <w:rFonts w:eastAsia="Verdana" w:cs="Verdana"/>
          <w:color w:val="000000" w:themeColor="text1"/>
        </w:rPr>
        <w:t>structuración</w:t>
      </w:r>
      <w:r w:rsidRPr="77689C34">
        <w:rPr>
          <w:rFonts w:eastAsia="Verdana" w:cs="Verdana"/>
          <w:color w:val="000000" w:themeColor="text1"/>
        </w:rPr>
        <w:t xml:space="preserve"> del sistema misional encargado de la administración de los subsidios del sector eléctrico y de gas combustible. La nueva versión incorpora una arquitectura hexagonal, depuración integral del módulo de Gas, reestructuración del menú y matriz de perfiles (incluye la incorporación de seis nuevos perfiles de operación con permisos diferenciados para Líderes, Validadores y Operadores), nuevas validaciones de cargue de los formatos F1 a F8, fortalecimiento del proceso de conciliación y la migración de JasperServer a JasperReports embebido para los reportes analíticos y de validación, eliminando la dependencia de un servidor de reportes externo y reduciendo riesgos de obsolescencia y costos de licenciamiento.</w:t>
      </w:r>
    </w:p>
    <w:p w14:paraId="7A13D937" w14:textId="0BCC0116" w:rsidR="422D7101" w:rsidRDefault="422D7101" w:rsidP="77689C34">
      <w:pPr>
        <w:pStyle w:val="ListParagraph"/>
        <w:spacing w:after="0"/>
        <w:rPr>
          <w:rFonts w:eastAsia="Verdana" w:cs="Verdana"/>
          <w:color w:val="000000" w:themeColor="text1"/>
        </w:rPr>
      </w:pPr>
      <w:r w:rsidRPr="77689C34">
        <w:rPr>
          <w:rFonts w:eastAsia="Verdana" w:cs="Verdana"/>
          <w:b/>
          <w:bCs/>
          <w:color w:val="000000" w:themeColor="text1"/>
        </w:rPr>
        <w:t xml:space="preserve">SIGPAC v1.0.0 — Sistema Integral de Gestión de Procesos Administrativos de Cobro: </w:t>
      </w:r>
      <w:r w:rsidRPr="77689C34">
        <w:rPr>
          <w:rFonts w:eastAsia="Verdana" w:cs="Verdana"/>
          <w:color w:val="000000" w:themeColor="text1"/>
        </w:rPr>
        <w:t>el Ministerio puso en operación una nueva plataforma para el cobro coactivo de la Entidad, que automatiza la administración de títulos ejecutivos, la gestión de expedientes a lo largo de trece (13) estados de proceso, el registro de acuerdos de pago con cuotas, las notificaciones a deudores con bitácora de auditoría, las medidas cautelares con planificador automático de plazos, las validaciones de reglas de negocio por estado y la generación de reportes institucionales en PDF y exportaciones a Excel. La plataforma está construida sobre un monorepo (NestJS + Next.js 14, Prisma, PostgreSQL 16) con autenticación corporativa LDAP y control de acceso basado en roles (RBAC).</w:t>
      </w:r>
    </w:p>
    <w:p w14:paraId="1E852C36" w14:textId="50B6550A" w:rsidR="422D7101" w:rsidRDefault="422D7101" w:rsidP="148DC465">
      <w:pPr>
        <w:pStyle w:val="ListParagraph"/>
        <w:spacing w:after="0"/>
        <w:rPr>
          <w:rFonts w:eastAsia="Verdana" w:cs="Verdana"/>
          <w:color w:val="000000" w:themeColor="text1"/>
        </w:rPr>
      </w:pPr>
      <w:r w:rsidRPr="77689C34">
        <w:rPr>
          <w:rFonts w:eastAsia="Verdana" w:cs="Verdana"/>
          <w:b/>
          <w:bCs/>
          <w:color w:val="000000" w:themeColor="text1"/>
        </w:rPr>
        <w:t xml:space="preserve">FondoBecas v2.0: </w:t>
      </w:r>
      <w:r w:rsidRPr="77689C34">
        <w:rPr>
          <w:rFonts w:eastAsia="Verdana" w:cs="Verdana"/>
          <w:color w:val="000000" w:themeColor="text1"/>
        </w:rPr>
        <w:t>se entregó la reconstrucción completa del sistema de gestión del Fondo de Becas y auxilios educativos del Ministerio sobre .NET 8 con Entity Framework Core, autenticación LDAP contra el Directorio Activo y configuración multi-ambiente (Desarrollo, QA, Producción). El sistema cubre el ciclo integral del beneficio: programas académicos, instituciones educativas, solicitudes, comités de aprobación, aprobaciones y rechazos, legalizaciones y reliquidaciones, con un panel de indicadores y gráficas para el seguimiento por parte de la Subdirección de Talento Humano.</w:t>
      </w:r>
    </w:p>
    <w:p w14:paraId="1FF132B6" w14:textId="107EDF24" w:rsidR="422D7101" w:rsidRDefault="422D7101" w:rsidP="77689C34">
      <w:pPr>
        <w:pStyle w:val="ListParagraph"/>
        <w:spacing w:after="0"/>
        <w:rPr>
          <w:rFonts w:eastAsia="Verdana" w:cs="Verdana"/>
          <w:color w:val="000000" w:themeColor="text1"/>
        </w:rPr>
      </w:pPr>
      <w:r w:rsidRPr="77689C34">
        <w:rPr>
          <w:rFonts w:eastAsia="Verdana" w:cs="Verdana"/>
          <w:b/>
          <w:bCs/>
          <w:color w:val="000000" w:themeColor="text1"/>
        </w:rPr>
        <w:t xml:space="preserve">EITI Reportes — Plataforma de la Iniciativa de Transparencia de las Industrias Extractivas: </w:t>
      </w:r>
      <w:r w:rsidRPr="77689C34">
        <w:rPr>
          <w:rFonts w:eastAsia="Verdana" w:cs="Verdana"/>
          <w:color w:val="000000" w:themeColor="text1"/>
        </w:rPr>
        <w:t>se implementó el módulo de reportes EITI sobre Next.js, con plantillas oficiales por entidad reportante y un parser dual capaz de procesar simultáneamente las versiones v1 y v2 del estándar, garantizando la continuidad operativa durante la transición de versiones. El componente fue desplegado en producción y se integra con el portal y el CMS EITI ya existentes.</w:t>
      </w:r>
    </w:p>
    <w:p w14:paraId="2A4B9241" w14:textId="180FE5FE" w:rsidR="422D7101" w:rsidRDefault="017E5FF0" w:rsidP="148DC465">
      <w:pPr>
        <w:pStyle w:val="ListParagraph"/>
        <w:spacing w:after="0"/>
        <w:rPr>
          <w:rFonts w:eastAsia="Verdana" w:cs="Verdana"/>
          <w:color w:val="000000" w:themeColor="text1"/>
        </w:rPr>
      </w:pPr>
      <w:r w:rsidRPr="11F9307A">
        <w:rPr>
          <w:rFonts w:eastAsia="Verdana" w:cs="Verdana"/>
          <w:b/>
          <w:bCs/>
          <w:color w:val="000000" w:themeColor="text1"/>
        </w:rPr>
        <w:t>P</w:t>
      </w:r>
      <w:r w:rsidR="422D7101" w:rsidRPr="11F9307A">
        <w:rPr>
          <w:rFonts w:eastAsia="Verdana" w:cs="Verdana"/>
          <w:b/>
          <w:bCs/>
          <w:color w:val="000000" w:themeColor="text1"/>
        </w:rPr>
        <w:t>ortal</w:t>
      </w:r>
      <w:r w:rsidR="422D7101" w:rsidRPr="77689C34">
        <w:rPr>
          <w:rFonts w:eastAsia="Verdana" w:cs="Verdana"/>
          <w:b/>
          <w:bCs/>
          <w:color w:val="000000" w:themeColor="text1"/>
        </w:rPr>
        <w:t xml:space="preserve"> y CMS EITI</w:t>
      </w:r>
      <w:r w:rsidR="2E7C59F2" w:rsidRPr="11F9307A">
        <w:rPr>
          <w:rFonts w:eastAsia="Verdana" w:cs="Verdana"/>
          <w:b/>
          <w:bCs/>
          <w:color w:val="000000" w:themeColor="text1"/>
        </w:rPr>
        <w:t xml:space="preserve"> </w:t>
      </w:r>
      <w:r w:rsidR="2E7C59F2" w:rsidRPr="79C6BF8D">
        <w:rPr>
          <w:rFonts w:eastAsia="Verdana" w:cs="Verdana"/>
          <w:b/>
          <w:bCs/>
          <w:color w:val="000000" w:themeColor="text1"/>
        </w:rPr>
        <w:t>Colombia</w:t>
      </w:r>
      <w:r w:rsidR="422D7101" w:rsidRPr="77689C34">
        <w:rPr>
          <w:rFonts w:eastAsia="Verdana" w:cs="Verdana"/>
          <w:b/>
          <w:bCs/>
          <w:color w:val="000000" w:themeColor="text1"/>
        </w:rPr>
        <w:t xml:space="preserve">: </w:t>
      </w:r>
      <w:r w:rsidR="422D7101" w:rsidRPr="77689C34">
        <w:rPr>
          <w:rFonts w:eastAsia="Verdana" w:cs="Verdana"/>
          <w:color w:val="000000" w:themeColor="text1"/>
        </w:rPr>
        <w:t>durante el segundo semestre de 2025 se ejecutaron tareas de mantenimiento correctivo y evolutivo, entre las que se destacan la remediación de vulnerabilidades identificadas en el análisis de seguridad, la corrección de los filtros de la página de noticias y el despliegue de un nuevo formulario para el cargue de informes por parte de las entidades del sector.</w:t>
      </w:r>
    </w:p>
    <w:p w14:paraId="3574835D" w14:textId="027017EF" w:rsidR="422D7101" w:rsidRDefault="422D7101" w:rsidP="77689C34">
      <w:pPr>
        <w:pStyle w:val="ListParagraph"/>
        <w:spacing w:after="0"/>
        <w:rPr>
          <w:rFonts w:eastAsia="Verdana" w:cs="Verdana"/>
          <w:color w:val="000000" w:themeColor="text1"/>
        </w:rPr>
      </w:pPr>
      <w:r w:rsidRPr="77689C34">
        <w:rPr>
          <w:rFonts w:eastAsia="Verdana" w:cs="Verdana"/>
          <w:b/>
          <w:bCs/>
          <w:color w:val="000000" w:themeColor="text1"/>
        </w:rPr>
        <w:t xml:space="preserve">Evolución de la aplicación móvil “Energía del Cambio”: </w:t>
      </w:r>
      <w:r w:rsidRPr="77689C34">
        <w:rPr>
          <w:rFonts w:eastAsia="Verdana" w:cs="Verdana"/>
          <w:color w:val="000000" w:themeColor="text1"/>
        </w:rPr>
        <w:t>la aplicación enfocada en facturación y transición energética, anunciada en el período 2024-2025, completó su ciclo de migración al repositorio institucional de código fuente y continuó su proceso de estabilización para distribución a los grupos de valor.</w:t>
      </w:r>
    </w:p>
    <w:p w14:paraId="6DDE8555" w14:textId="42E4CFC4" w:rsidR="422D7101" w:rsidRDefault="422D7101" w:rsidP="77689C34">
      <w:pPr>
        <w:spacing w:before="120" w:after="120"/>
      </w:pPr>
      <w:r w:rsidRPr="7BCA60EE">
        <w:rPr>
          <w:rFonts w:eastAsia="Verdana" w:cs="Verdana"/>
          <w:color w:val="000000" w:themeColor="text1"/>
        </w:rPr>
        <w:t>Adicionalmente, en cumplimiento de las directrices del PETI y de los lineamientos de calidad FUEM (Fiabilidad, Usabilidad, Estabilidad, Mantenibilidad) complementados con los atributos de seguridad, disponibilidad, movilidad e interoperabilidad, durante el período se consolidaron las siguientes prácticas de ingeniería transversales a todos los desarrollos reseñados:</w:t>
      </w:r>
    </w:p>
    <w:p w14:paraId="1F421CD7" w14:textId="5A56F30D" w:rsidR="422D7101" w:rsidRDefault="422D7101" w:rsidP="77689C34">
      <w:pPr>
        <w:pStyle w:val="ListParagraph"/>
        <w:spacing w:after="0"/>
        <w:rPr>
          <w:rFonts w:eastAsia="Verdana" w:cs="Verdana"/>
          <w:color w:val="000000" w:themeColor="text1"/>
        </w:rPr>
      </w:pPr>
      <w:r w:rsidRPr="77689C34">
        <w:rPr>
          <w:rFonts w:eastAsia="Verdana" w:cs="Verdana"/>
          <w:color w:val="000000" w:themeColor="text1"/>
        </w:rPr>
        <w:t>Gestión de código fuente bajo Git en repositorios institucionales (GitLab interno del Ministerio), con estrategia de ramas (develop, release, feature/*, hotfix/*) alineada al modelo Git Flow y merge requests obligatorios para el ingreso de cambios a las ramas protegidas.</w:t>
      </w:r>
    </w:p>
    <w:p w14:paraId="37C1AC01" w14:textId="1CFB4B67" w:rsidR="422D7101" w:rsidRDefault="422D7101" w:rsidP="77689C34">
      <w:pPr>
        <w:pStyle w:val="ListParagraph"/>
        <w:spacing w:after="0"/>
        <w:rPr>
          <w:rFonts w:eastAsia="Verdana" w:cs="Verdana"/>
          <w:color w:val="000000" w:themeColor="text1"/>
        </w:rPr>
      </w:pPr>
      <w:r w:rsidRPr="77689C34">
        <w:rPr>
          <w:rFonts w:eastAsia="Verdana" w:cs="Verdana"/>
          <w:color w:val="000000" w:themeColor="text1"/>
        </w:rPr>
        <w:t>Versionamiento semántico de los entregables (SISEG v3.0, SIGPAC v1.0.0, FondoBecas v2.0) con tags de release y documentación técnica (README, CHANGELOG, LICENSE) versionada junto al código.</w:t>
      </w:r>
    </w:p>
    <w:p w14:paraId="5DB448EE" w14:textId="59BE4B68" w:rsidR="422D7101" w:rsidRDefault="422D7101" w:rsidP="77689C34">
      <w:pPr>
        <w:pStyle w:val="ListParagraph"/>
        <w:spacing w:after="0"/>
        <w:rPr>
          <w:rFonts w:eastAsia="Verdana" w:cs="Verdana"/>
          <w:color w:val="000000" w:themeColor="text1"/>
        </w:rPr>
      </w:pPr>
      <w:r w:rsidRPr="77689C34">
        <w:rPr>
          <w:rFonts w:eastAsia="Verdana" w:cs="Verdana"/>
          <w:color w:val="000000" w:themeColor="text1"/>
        </w:rPr>
        <w:t>Despliegue escalonado (desarrollo → pruebas → producción) con configuraciones diferenciadas por ambiente y separación estricta de credenciales mediante variables de entorno.</w:t>
      </w:r>
    </w:p>
    <w:p w14:paraId="3B779437" w14:textId="28CDEEA6" w:rsidR="422D7101" w:rsidRDefault="422D7101" w:rsidP="77689C34">
      <w:pPr>
        <w:pStyle w:val="ListParagraph"/>
        <w:spacing w:after="0"/>
        <w:rPr>
          <w:rFonts w:eastAsia="Verdana" w:cs="Verdana"/>
          <w:color w:val="000000" w:themeColor="text1"/>
        </w:rPr>
      </w:pPr>
      <w:r w:rsidRPr="77689C34">
        <w:rPr>
          <w:rFonts w:eastAsia="Verdana" w:cs="Verdana"/>
          <w:color w:val="000000" w:themeColor="text1"/>
        </w:rPr>
        <w:t>Trazabilidad de requerimientos mediante la nomenclatura HU-XXX en los mensajes de commit, que permite vincular cada cambio con la historia de usuario y los hallazgos de QA correspondientes.</w:t>
      </w:r>
    </w:p>
    <w:p w14:paraId="5FA0E351" w14:textId="4AB55296" w:rsidR="422D7101" w:rsidRDefault="422D7101" w:rsidP="77689C34">
      <w:pPr>
        <w:pStyle w:val="ListParagraph"/>
        <w:spacing w:after="0"/>
        <w:rPr>
          <w:rFonts w:eastAsia="Verdana" w:cs="Verdana"/>
          <w:color w:val="000000" w:themeColor="text1"/>
        </w:rPr>
      </w:pPr>
      <w:r w:rsidRPr="77689C34">
        <w:rPr>
          <w:rFonts w:eastAsia="Verdana" w:cs="Verdana"/>
          <w:color w:val="000000" w:themeColor="text1"/>
        </w:rPr>
        <w:t>Fortalecimiento de seguridad de los repositorios: exclusión de artefactos de IDE y secretos del control de versiones (.gitignore ajustado), autenticación corporativa para acceso al gestor de código y revisión de vulnerabilidades en dependencias.</w:t>
      </w:r>
    </w:p>
    <w:p w14:paraId="7F2BEE0A" w14:textId="63533498" w:rsidR="422D7101" w:rsidRDefault="422D7101" w:rsidP="77689C34">
      <w:pPr>
        <w:spacing w:before="120" w:after="120"/>
      </w:pPr>
      <w:r w:rsidRPr="77689C34">
        <w:rPr>
          <w:rFonts w:eastAsia="Verdana" w:cs="Verdana"/>
          <w:color w:val="000000" w:themeColor="text1"/>
        </w:rPr>
        <w:t>Estas acciones consolidan al Ministerio en una práctica de desarrollo de software institucional soportada por arquitecturas modernas, control de versiones disciplinado y entregas verificables. En conjunto, los sistemas reconstruidos durante el período sustituyen tecnologías obsoletas, reducen la deuda técnica acumulada del cuatrienio, mejoran la experiencia de operadores, comercializadores y ciudadanía, y dejan al sector minero-energético con un portafolio digital alineado con los estándares del Estado colombiano.</w:t>
      </w:r>
    </w:p>
    <w:p w14:paraId="07633C6B" w14:textId="686676DE" w:rsidR="77689C34" w:rsidRDefault="77689C34" w:rsidP="77689C34">
      <w:pPr>
        <w:spacing w:before="120" w:after="120"/>
        <w:rPr>
          <w:rFonts w:eastAsia="Verdana" w:cs="Verdana"/>
          <w:color w:val="000000" w:themeColor="text1"/>
        </w:rPr>
      </w:pPr>
    </w:p>
    <w:p w14:paraId="30F081E8" w14:textId="3BFA732F" w:rsidR="00C712D1" w:rsidRPr="004A2840" w:rsidRDefault="00C712D1" w:rsidP="0060060B">
      <w:pPr>
        <w:pStyle w:val="Heading2"/>
      </w:pPr>
      <w:commentRangeStart w:id="4"/>
      <w:commentRangeStart w:id="5"/>
      <w:commentRangeStart w:id="6"/>
      <w:r>
        <w:t>Avances de la Seguridad Digital</w:t>
      </w:r>
      <w:commentRangeEnd w:id="4"/>
      <w:r w:rsidRPr="004A2840">
        <w:rPr>
          <w:rStyle w:val="CommentReference"/>
          <w:sz w:val="28"/>
          <w:szCs w:val="28"/>
        </w:rPr>
        <w:commentReference w:id="4"/>
      </w:r>
      <w:commentRangeEnd w:id="5"/>
      <w:r w:rsidRPr="004A2840">
        <w:rPr>
          <w:rStyle w:val="CommentReference"/>
          <w:sz w:val="28"/>
          <w:szCs w:val="28"/>
        </w:rPr>
        <w:commentReference w:id="5"/>
      </w:r>
      <w:commentRangeEnd w:id="6"/>
      <w:r w:rsidRPr="004A2840">
        <w:rPr>
          <w:rStyle w:val="CommentReference"/>
          <w:sz w:val="28"/>
          <w:szCs w:val="28"/>
        </w:rPr>
        <w:commentReference w:id="6"/>
      </w:r>
    </w:p>
    <w:p w14:paraId="362DFEF9" w14:textId="6BDE5D05" w:rsidR="7BCA60EE" w:rsidRDefault="7BCA60EE"/>
    <w:p w14:paraId="1AF26713" w14:textId="618BFD57" w:rsidR="11291368" w:rsidRDefault="6B7CA440" w:rsidP="7BCA60EE">
      <w:pPr>
        <w:rPr>
          <w:color w:val="00B050"/>
        </w:rPr>
      </w:pPr>
      <w:r w:rsidRPr="24242B6F">
        <w:rPr>
          <w:color w:val="00B050"/>
        </w:rPr>
        <w:t xml:space="preserve">El Ministerio de Minas y Energía </w:t>
      </w:r>
      <w:r w:rsidR="4D2AF54F" w:rsidRPr="24242B6F">
        <w:rPr>
          <w:color w:val="00B050"/>
        </w:rPr>
        <w:t>de la mano con sus logros en la gestión TIC</w:t>
      </w:r>
      <w:r w:rsidR="4375C746" w:rsidRPr="24242B6F">
        <w:rPr>
          <w:color w:val="00B050"/>
        </w:rPr>
        <w:t>, ha ido implementan</w:t>
      </w:r>
      <w:r w:rsidR="31BC7508" w:rsidRPr="24242B6F">
        <w:rPr>
          <w:color w:val="00B050"/>
        </w:rPr>
        <w:t>do</w:t>
      </w:r>
      <w:r w:rsidR="4375C746" w:rsidRPr="24242B6F">
        <w:rPr>
          <w:color w:val="00B050"/>
        </w:rPr>
        <w:t xml:space="preserve"> de manera estraté</w:t>
      </w:r>
      <w:r w:rsidR="12111844" w:rsidRPr="24242B6F">
        <w:rPr>
          <w:color w:val="00B050"/>
        </w:rPr>
        <w:t xml:space="preserve">gica, </w:t>
      </w:r>
      <w:r w:rsidR="524C9C78" w:rsidRPr="24242B6F">
        <w:rPr>
          <w:color w:val="00B050"/>
        </w:rPr>
        <w:t>objetivos</w:t>
      </w:r>
      <w:r w:rsidR="4A47E2FD" w:rsidRPr="24242B6F">
        <w:rPr>
          <w:color w:val="00B050"/>
        </w:rPr>
        <w:t xml:space="preserve"> y metas en seguridad de la información, ciberseguridad y ciberdefensa de que se</w:t>
      </w:r>
      <w:r w:rsidR="3508F381" w:rsidRPr="24242B6F">
        <w:rPr>
          <w:color w:val="00B050"/>
        </w:rPr>
        <w:t xml:space="preserve"> sustentados siempre bajo la óp</w:t>
      </w:r>
      <w:r w:rsidR="091BF3D0" w:rsidRPr="24242B6F">
        <w:rPr>
          <w:color w:val="00B050"/>
        </w:rPr>
        <w:t xml:space="preserve">tica de las normas, estándares internacionales, y </w:t>
      </w:r>
      <w:r w:rsidR="091BF3D0" w:rsidRPr="0B52388A">
        <w:rPr>
          <w:color w:val="00B050"/>
        </w:rPr>
        <w:t>pa</w:t>
      </w:r>
      <w:r w:rsidR="130E96B4" w:rsidRPr="0B52388A">
        <w:rPr>
          <w:color w:val="00B050"/>
        </w:rPr>
        <w:t>rticularmente, sobre los lineamientos y dire</w:t>
      </w:r>
      <w:r w:rsidR="201F5A1C" w:rsidRPr="0B52388A">
        <w:rPr>
          <w:color w:val="00B050"/>
        </w:rPr>
        <w:t xml:space="preserve">ctrices </w:t>
      </w:r>
      <w:r w:rsidR="201F5A1C" w:rsidRPr="784DF23B">
        <w:rPr>
          <w:color w:val="00B050"/>
        </w:rPr>
        <w:t>gubernamentales</w:t>
      </w:r>
      <w:r w:rsidR="201F5A1C" w:rsidRPr="68123099">
        <w:rPr>
          <w:color w:val="00B050"/>
        </w:rPr>
        <w:t xml:space="preserve"> </w:t>
      </w:r>
      <w:r w:rsidR="201F5A1C" w:rsidRPr="53ECB20F">
        <w:rPr>
          <w:color w:val="00B050"/>
        </w:rPr>
        <w:t xml:space="preserve">la </w:t>
      </w:r>
      <w:r w:rsidR="201F5A1C" w:rsidRPr="074B7CA0">
        <w:rPr>
          <w:color w:val="00B050"/>
        </w:rPr>
        <w:t>Pol</w:t>
      </w:r>
      <w:r w:rsidR="63CE9EEB" w:rsidRPr="074B7CA0">
        <w:rPr>
          <w:color w:val="00B050"/>
        </w:rPr>
        <w:t xml:space="preserve">ítica de </w:t>
      </w:r>
      <w:r w:rsidR="63CE9EEB" w:rsidRPr="02BA660E">
        <w:rPr>
          <w:color w:val="00B050"/>
        </w:rPr>
        <w:t>Seguridad Digital</w:t>
      </w:r>
      <w:r w:rsidR="7489BA2E" w:rsidRPr="02AC2DA2">
        <w:rPr>
          <w:color w:val="00B050"/>
        </w:rPr>
        <w:t xml:space="preserve">, de tal </w:t>
      </w:r>
      <w:r w:rsidR="7489BA2E" w:rsidRPr="39A15801">
        <w:rPr>
          <w:color w:val="00B050"/>
        </w:rPr>
        <w:t xml:space="preserve">forma que sus activos de </w:t>
      </w:r>
      <w:r w:rsidR="7489BA2E" w:rsidRPr="0666C3E2">
        <w:rPr>
          <w:color w:val="00B050"/>
        </w:rPr>
        <w:t xml:space="preserve">información, </w:t>
      </w:r>
      <w:r w:rsidR="7489BA2E" w:rsidRPr="2D8B1CB7">
        <w:rPr>
          <w:color w:val="00B050"/>
        </w:rPr>
        <w:t xml:space="preserve">operación, </w:t>
      </w:r>
      <w:r w:rsidR="7489BA2E" w:rsidRPr="7FB83D43">
        <w:rPr>
          <w:color w:val="00B050"/>
        </w:rPr>
        <w:t>institucionalidad</w:t>
      </w:r>
      <w:r w:rsidR="7489BA2E" w:rsidRPr="2D8B1CB7">
        <w:rPr>
          <w:color w:val="00B050"/>
        </w:rPr>
        <w:t xml:space="preserve"> y </w:t>
      </w:r>
      <w:r w:rsidR="7489BA2E" w:rsidRPr="7FB83D43">
        <w:rPr>
          <w:color w:val="00B050"/>
        </w:rPr>
        <w:t>misionalidad</w:t>
      </w:r>
      <w:r w:rsidR="7489BA2E" w:rsidRPr="3B196B3A">
        <w:rPr>
          <w:color w:val="00B050"/>
        </w:rPr>
        <w:t xml:space="preserve"> </w:t>
      </w:r>
      <w:r w:rsidR="7489BA2E" w:rsidRPr="54DC568F">
        <w:rPr>
          <w:color w:val="00B050"/>
        </w:rPr>
        <w:t>se mantengan</w:t>
      </w:r>
      <w:r w:rsidR="084A1F80" w:rsidRPr="54DC568F">
        <w:rPr>
          <w:color w:val="00B050"/>
        </w:rPr>
        <w:t xml:space="preserve"> </w:t>
      </w:r>
      <w:r w:rsidR="084A1F80" w:rsidRPr="564E94B8">
        <w:rPr>
          <w:color w:val="00B050"/>
        </w:rPr>
        <w:t xml:space="preserve">activas </w:t>
      </w:r>
      <w:r w:rsidR="084A1F80" w:rsidRPr="5A3A0053">
        <w:rPr>
          <w:color w:val="00B050"/>
        </w:rPr>
        <w:t>siempre, y que si por alguna razón</w:t>
      </w:r>
      <w:r w:rsidR="084A1F80" w:rsidRPr="1A89180D">
        <w:rPr>
          <w:color w:val="00B050"/>
        </w:rPr>
        <w:t xml:space="preserve">, se </w:t>
      </w:r>
      <w:r w:rsidR="084A1F80" w:rsidRPr="21361721">
        <w:rPr>
          <w:color w:val="00B050"/>
        </w:rPr>
        <w:t xml:space="preserve">llegara a </w:t>
      </w:r>
      <w:r w:rsidR="084A1F80" w:rsidRPr="176D7E28">
        <w:rPr>
          <w:color w:val="00B050"/>
        </w:rPr>
        <w:t xml:space="preserve">presentar un evento </w:t>
      </w:r>
      <w:r w:rsidR="084A1F80" w:rsidRPr="3AB002C5">
        <w:rPr>
          <w:color w:val="00B050"/>
        </w:rPr>
        <w:t xml:space="preserve">no deseado, se cuente con </w:t>
      </w:r>
      <w:r w:rsidR="084A1F80" w:rsidRPr="49867A68">
        <w:rPr>
          <w:color w:val="00B050"/>
        </w:rPr>
        <w:t xml:space="preserve">capaciodades que le </w:t>
      </w:r>
      <w:r w:rsidR="084A1F80" w:rsidRPr="749C3A7B">
        <w:rPr>
          <w:color w:val="00B050"/>
        </w:rPr>
        <w:t>permitan</w:t>
      </w:r>
      <w:r w:rsidR="7FFDA0C1" w:rsidRPr="2A7A2889">
        <w:rPr>
          <w:color w:val="00B050"/>
        </w:rPr>
        <w:t xml:space="preserve">, </w:t>
      </w:r>
      <w:r w:rsidR="7FFDA0C1" w:rsidRPr="64739AC9">
        <w:rPr>
          <w:color w:val="00B050"/>
        </w:rPr>
        <w:t xml:space="preserve">tener </w:t>
      </w:r>
      <w:r w:rsidR="7FFDA0C1" w:rsidRPr="6BF8CCB9">
        <w:rPr>
          <w:color w:val="00B050"/>
        </w:rPr>
        <w:t xml:space="preserve">continuidad, al </w:t>
      </w:r>
      <w:r w:rsidR="7FFDA0C1" w:rsidRPr="2FFD9F32">
        <w:rPr>
          <w:color w:val="00B050"/>
        </w:rPr>
        <w:t>menos</w:t>
      </w:r>
      <w:r w:rsidR="7FFDA0C1" w:rsidRPr="6BF8CCB9">
        <w:rPr>
          <w:color w:val="00B050"/>
        </w:rPr>
        <w:t xml:space="preserve"> </w:t>
      </w:r>
      <w:r w:rsidR="7FFDA0C1" w:rsidRPr="26C9D1AF">
        <w:rPr>
          <w:color w:val="00B050"/>
        </w:rPr>
        <w:t xml:space="preserve">con sus </w:t>
      </w:r>
      <w:r w:rsidR="7FFDA0C1" w:rsidRPr="366FDD5A">
        <w:rPr>
          <w:color w:val="00B050"/>
        </w:rPr>
        <w:t xml:space="preserve">servicios y </w:t>
      </w:r>
      <w:r w:rsidR="7FFDA0C1" w:rsidRPr="1C01013A">
        <w:rPr>
          <w:color w:val="00B050"/>
        </w:rPr>
        <w:t xml:space="preserve">operaciones </w:t>
      </w:r>
      <w:r w:rsidR="7FFDA0C1" w:rsidRPr="0780F38F">
        <w:rPr>
          <w:color w:val="00B050"/>
        </w:rPr>
        <w:t>críticas</w:t>
      </w:r>
      <w:r w:rsidR="7FFDA0C1" w:rsidRPr="431313EB">
        <w:rPr>
          <w:color w:val="00B050"/>
        </w:rPr>
        <w:t>,</w:t>
      </w:r>
      <w:r w:rsidR="69EF2FD1" w:rsidRPr="0DB390CA">
        <w:rPr>
          <w:color w:val="00B050"/>
        </w:rPr>
        <w:t xml:space="preserve"> </w:t>
      </w:r>
      <w:r w:rsidR="69EF2FD1" w:rsidRPr="19CD5CF7">
        <w:rPr>
          <w:color w:val="00B050"/>
        </w:rPr>
        <w:t xml:space="preserve">haciéndolo </w:t>
      </w:r>
      <w:r w:rsidR="69EF2FD1" w:rsidRPr="67F9EACA">
        <w:rPr>
          <w:color w:val="00B050"/>
        </w:rPr>
        <w:t xml:space="preserve">más resiliente </w:t>
      </w:r>
      <w:r w:rsidR="69EF2FD1" w:rsidRPr="104536FA">
        <w:rPr>
          <w:color w:val="00B050"/>
        </w:rPr>
        <w:t>ante este</w:t>
      </w:r>
      <w:r w:rsidR="69EF2FD1" w:rsidRPr="67F9EACA">
        <w:rPr>
          <w:color w:val="00B050"/>
        </w:rPr>
        <w:t xml:space="preserve"> </w:t>
      </w:r>
      <w:r w:rsidR="69EF2FD1" w:rsidRPr="28D629C8">
        <w:rPr>
          <w:color w:val="00B050"/>
        </w:rPr>
        <w:t>tipo de situaciones.</w:t>
      </w:r>
    </w:p>
    <w:p w14:paraId="2E8D2F4E" w14:textId="5F5BDE33" w:rsidR="69EF2FD1" w:rsidRDefault="69EF2FD1" w:rsidP="790FD403">
      <w:pPr>
        <w:rPr>
          <w:color w:val="00B050"/>
        </w:rPr>
      </w:pPr>
      <w:r w:rsidRPr="364889D1">
        <w:rPr>
          <w:color w:val="00B050"/>
        </w:rPr>
        <w:t xml:space="preserve">En ese sentido, los </w:t>
      </w:r>
      <w:r w:rsidR="25B69697" w:rsidRPr="364889D1">
        <w:rPr>
          <w:color w:val="00B050"/>
        </w:rPr>
        <w:t>logros más importantes se de</w:t>
      </w:r>
      <w:r w:rsidR="4EAE06BC" w:rsidRPr="364889D1">
        <w:rPr>
          <w:color w:val="00B050"/>
        </w:rPr>
        <w:t>scriben a continuación:</w:t>
      </w:r>
    </w:p>
    <w:p w14:paraId="623BF44A" w14:textId="2328D2FE" w:rsidR="0A23E2C2" w:rsidRDefault="0A23E2C2" w:rsidP="4EE71B2B">
      <w:pPr>
        <w:rPr>
          <w:rFonts w:asciiTheme="minorHAnsi" w:eastAsiaTheme="minorEastAsia" w:hAnsiTheme="minorHAnsi"/>
          <w:b/>
          <w:bCs/>
          <w:color w:val="000000" w:themeColor="text1"/>
          <w:sz w:val="24"/>
          <w:szCs w:val="24"/>
        </w:rPr>
      </w:pPr>
      <w:commentRangeStart w:id="9"/>
      <w:commentRangeStart w:id="10"/>
      <w:r w:rsidRPr="4EE71B2B">
        <w:rPr>
          <w:rFonts w:asciiTheme="minorHAnsi" w:eastAsiaTheme="minorEastAsia" w:hAnsiTheme="minorHAnsi"/>
          <w:b/>
          <w:bCs/>
          <w:color w:val="000000" w:themeColor="text1"/>
          <w:sz w:val="24"/>
          <w:szCs w:val="24"/>
        </w:rPr>
        <w:t>8.</w:t>
      </w:r>
      <w:r w:rsidR="3A935E3D" w:rsidRPr="4EE71B2B">
        <w:rPr>
          <w:rFonts w:asciiTheme="minorHAnsi" w:eastAsiaTheme="minorEastAsia" w:hAnsiTheme="minorHAnsi"/>
          <w:b/>
          <w:bCs/>
          <w:color w:val="000000" w:themeColor="text1"/>
          <w:sz w:val="24"/>
          <w:szCs w:val="24"/>
        </w:rPr>
        <w:t>2</w:t>
      </w:r>
      <w:r w:rsidRPr="4EE71B2B">
        <w:rPr>
          <w:rFonts w:asciiTheme="minorHAnsi" w:eastAsiaTheme="minorEastAsia" w:hAnsiTheme="minorHAnsi"/>
          <w:b/>
          <w:bCs/>
          <w:color w:val="000000" w:themeColor="text1"/>
          <w:sz w:val="24"/>
          <w:szCs w:val="24"/>
        </w:rPr>
        <w:t xml:space="preserve">.1 Período 2022 </w:t>
      </w:r>
      <w:r w:rsidR="5BC77CF9" w:rsidRPr="4EE71B2B">
        <w:rPr>
          <w:rFonts w:asciiTheme="minorHAnsi" w:eastAsiaTheme="minorEastAsia" w:hAnsiTheme="minorHAnsi"/>
          <w:b/>
          <w:bCs/>
          <w:color w:val="000000" w:themeColor="text1"/>
          <w:sz w:val="24"/>
          <w:szCs w:val="24"/>
        </w:rPr>
        <w:t>–</w:t>
      </w:r>
      <w:r w:rsidRPr="4EE71B2B">
        <w:rPr>
          <w:rFonts w:asciiTheme="minorHAnsi" w:eastAsiaTheme="minorEastAsia" w:hAnsiTheme="minorHAnsi"/>
          <w:b/>
          <w:bCs/>
          <w:color w:val="000000" w:themeColor="text1"/>
          <w:sz w:val="24"/>
          <w:szCs w:val="24"/>
        </w:rPr>
        <w:t xml:space="preserve"> mayo </w:t>
      </w:r>
      <w:r w:rsidR="5BC77CF9" w:rsidRPr="4EE71B2B">
        <w:rPr>
          <w:rFonts w:asciiTheme="minorHAnsi" w:eastAsiaTheme="minorEastAsia" w:hAnsiTheme="minorHAnsi"/>
          <w:color w:val="00B050"/>
          <w:sz w:val="24"/>
          <w:szCs w:val="24"/>
        </w:rPr>
        <w:t>(</w:t>
      </w:r>
      <w:r w:rsidR="16D0C058" w:rsidRPr="4EE71B2B">
        <w:rPr>
          <w:rFonts w:asciiTheme="minorHAnsi" w:eastAsiaTheme="minorEastAsia" w:hAnsiTheme="minorHAnsi"/>
          <w:color w:val="00B050"/>
          <w:sz w:val="24"/>
          <w:szCs w:val="24"/>
        </w:rPr>
        <w:t>novi</w:t>
      </w:r>
      <w:r w:rsidR="5BC77CF9" w:rsidRPr="4EE71B2B">
        <w:rPr>
          <w:rFonts w:asciiTheme="minorHAnsi" w:eastAsiaTheme="minorEastAsia" w:hAnsiTheme="minorHAnsi"/>
          <w:color w:val="00B050"/>
          <w:sz w:val="24"/>
          <w:szCs w:val="24"/>
        </w:rPr>
        <w:t>embre)</w:t>
      </w:r>
      <w:r w:rsidR="5BC77CF9" w:rsidRPr="4EE71B2B">
        <w:rPr>
          <w:rFonts w:asciiTheme="minorHAnsi" w:eastAsiaTheme="minorEastAsia" w:hAnsiTheme="minorHAnsi"/>
          <w:b/>
          <w:bCs/>
          <w:color w:val="000000" w:themeColor="text1"/>
          <w:sz w:val="24"/>
          <w:szCs w:val="24"/>
        </w:rPr>
        <w:t xml:space="preserve"> </w:t>
      </w:r>
      <w:r w:rsidRPr="4EE71B2B">
        <w:rPr>
          <w:rFonts w:asciiTheme="minorHAnsi" w:eastAsiaTheme="minorEastAsia" w:hAnsiTheme="minorHAnsi"/>
          <w:b/>
          <w:bCs/>
          <w:color w:val="000000" w:themeColor="text1"/>
          <w:sz w:val="24"/>
          <w:szCs w:val="24"/>
        </w:rPr>
        <w:t>de 2023</w:t>
      </w:r>
      <w:commentRangeEnd w:id="9"/>
      <w:r>
        <w:rPr>
          <w:rStyle w:val="CommentReference"/>
          <w:rFonts w:asciiTheme="minorHAnsi" w:eastAsiaTheme="minorEastAsia" w:hAnsiTheme="minorHAnsi"/>
          <w:b/>
          <w:bCs/>
          <w:color w:val="000000" w:themeColor="text1"/>
          <w:sz w:val="24"/>
          <w:szCs w:val="24"/>
        </w:rPr>
        <w:commentReference w:id="9"/>
      </w:r>
      <w:commentRangeEnd w:id="10"/>
      <w:r>
        <w:rPr>
          <w:rStyle w:val="CommentReference"/>
          <w:rFonts w:asciiTheme="minorHAnsi" w:eastAsiaTheme="minorEastAsia" w:hAnsiTheme="minorHAnsi"/>
          <w:b/>
          <w:bCs/>
          <w:color w:val="000000" w:themeColor="text1"/>
          <w:sz w:val="24"/>
          <w:szCs w:val="24"/>
        </w:rPr>
        <w:commentReference w:id="10"/>
      </w:r>
    </w:p>
    <w:p w14:paraId="7459C485" w14:textId="44EB5A74" w:rsidR="73A7CF6D" w:rsidRDefault="73A7CF6D" w:rsidP="7961215B">
      <w:pPr>
        <w:rPr>
          <w:color w:val="00B050"/>
        </w:rPr>
      </w:pPr>
      <w:r w:rsidRPr="7961215B">
        <w:rPr>
          <w:rFonts w:eastAsia="Verdana" w:cs="Verdana"/>
          <w:color w:val="00B050"/>
        </w:rPr>
        <w:t>A través de la Iniciativa ITO4- Actualizar e Implementar el Modelo de Seguridad y Privacidad de la Información del MINENERGIA</w:t>
      </w:r>
      <w:r w:rsidR="51093E80" w:rsidRPr="7961215B">
        <w:rPr>
          <w:rFonts w:eastAsia="Verdana" w:cs="Verdana"/>
          <w:color w:val="00B050"/>
        </w:rPr>
        <w:t>, fundamentada en identificación e incorporación los controles y procesos para asegurar la protección de la información de cara a los nuevos riesgos de seguridad en el entorno digital</w:t>
      </w:r>
      <w:r w:rsidR="4F0FF01F" w:rsidRPr="7961215B">
        <w:rPr>
          <w:rFonts w:eastAsia="Verdana" w:cs="Verdana"/>
          <w:color w:val="00B050"/>
        </w:rPr>
        <w:t>, se llevaron a cabo los siguientes logros:</w:t>
      </w:r>
    </w:p>
    <w:p w14:paraId="08C34F62" w14:textId="524DBAFF" w:rsidR="2CC641BC" w:rsidRDefault="2CC641BC" w:rsidP="7961215B">
      <w:pPr>
        <w:pStyle w:val="ListParagraph"/>
        <w:rPr>
          <w:color w:val="00B050"/>
        </w:rPr>
      </w:pPr>
      <w:r w:rsidRPr="7961215B">
        <w:rPr>
          <w:rFonts w:eastAsia="Verdana" w:cs="Verdana"/>
          <w:color w:val="00B050"/>
        </w:rPr>
        <w:t>Diagnóstico del estado actual vs el modelo de seguridad de la información.</w:t>
      </w:r>
    </w:p>
    <w:p w14:paraId="0E8C00BE" w14:textId="7612F47E" w:rsidR="2CC641BC" w:rsidRDefault="2CC641BC" w:rsidP="7961215B">
      <w:pPr>
        <w:pStyle w:val="ListParagraph"/>
        <w:rPr>
          <w:color w:val="00B050"/>
        </w:rPr>
      </w:pPr>
      <w:r w:rsidRPr="7961215B">
        <w:rPr>
          <w:rFonts w:eastAsia="Verdana" w:cs="Verdana"/>
          <w:color w:val="00B050"/>
        </w:rPr>
        <w:t xml:space="preserve"> Actividades de mejoras identificadas.</w:t>
      </w:r>
    </w:p>
    <w:p w14:paraId="4A016E52" w14:textId="2070377C" w:rsidR="2CC641BC" w:rsidRDefault="2CC641BC" w:rsidP="7961215B">
      <w:pPr>
        <w:pStyle w:val="ListParagraph"/>
        <w:rPr>
          <w:color w:val="00B050"/>
        </w:rPr>
      </w:pPr>
      <w:r w:rsidRPr="7961215B">
        <w:rPr>
          <w:rFonts w:eastAsia="Verdana" w:cs="Verdana"/>
          <w:color w:val="00B050"/>
        </w:rPr>
        <w:t>Actualización de políticas, procesos y procedimientos del Modelo de Seguridad y Privacidad de la</w:t>
      </w:r>
      <w:r w:rsidR="11D2A685" w:rsidRPr="7961215B">
        <w:rPr>
          <w:rFonts w:eastAsia="Verdana" w:cs="Verdana"/>
          <w:color w:val="00B050"/>
        </w:rPr>
        <w:t xml:space="preserve"> </w:t>
      </w:r>
      <w:r w:rsidRPr="7961215B">
        <w:rPr>
          <w:rFonts w:eastAsia="Verdana" w:cs="Verdana"/>
          <w:color w:val="00B050"/>
        </w:rPr>
        <w:t>información de MINENERGIA</w:t>
      </w:r>
    </w:p>
    <w:p w14:paraId="265339A6" w14:textId="50EE2ECB" w:rsidR="2CC641BC" w:rsidRDefault="2CC641BC" w:rsidP="7961215B">
      <w:pPr>
        <w:pStyle w:val="ListParagraph"/>
        <w:rPr>
          <w:color w:val="00B050"/>
        </w:rPr>
      </w:pPr>
      <w:r w:rsidRPr="7961215B">
        <w:rPr>
          <w:rFonts w:eastAsia="Verdana" w:cs="Verdana"/>
          <w:color w:val="00B050"/>
        </w:rPr>
        <w:t>Actualización del Inventario de activos de la Entidad</w:t>
      </w:r>
    </w:p>
    <w:p w14:paraId="20561CD3" w14:textId="07BE7F75" w:rsidR="2CC641BC" w:rsidRDefault="2CC641BC" w:rsidP="7961215B">
      <w:pPr>
        <w:pStyle w:val="ListParagraph"/>
        <w:rPr>
          <w:color w:val="00B050"/>
        </w:rPr>
      </w:pPr>
      <w:r w:rsidRPr="7961215B">
        <w:rPr>
          <w:rFonts w:eastAsia="Verdana" w:cs="Verdana"/>
          <w:color w:val="00B050"/>
        </w:rPr>
        <w:t>Definición de estrategias para que las áreas responsables al interior de la entidad definan actualicen</w:t>
      </w:r>
      <w:r w:rsidR="17218E5A" w:rsidRPr="7961215B">
        <w:rPr>
          <w:rFonts w:eastAsia="Verdana" w:cs="Verdana"/>
          <w:color w:val="00B050"/>
        </w:rPr>
        <w:t xml:space="preserve"> </w:t>
      </w:r>
      <w:r w:rsidRPr="7961215B">
        <w:rPr>
          <w:rFonts w:eastAsia="Verdana" w:cs="Verdana"/>
          <w:color w:val="00B050"/>
        </w:rPr>
        <w:t>el inventario de activos de información.</w:t>
      </w:r>
    </w:p>
    <w:p w14:paraId="7ADBFF40" w14:textId="2B9CDF38" w:rsidR="2CC641BC" w:rsidRDefault="2CC641BC" w:rsidP="7961215B">
      <w:pPr>
        <w:pStyle w:val="ListParagraph"/>
        <w:rPr>
          <w:color w:val="00B050"/>
        </w:rPr>
      </w:pPr>
      <w:r w:rsidRPr="7961215B">
        <w:rPr>
          <w:rFonts w:eastAsia="Verdana" w:cs="Verdana"/>
          <w:color w:val="00B050"/>
        </w:rPr>
        <w:t>Identificación de los riesgos de Seguridad de la información</w:t>
      </w:r>
    </w:p>
    <w:p w14:paraId="581424F4" w14:textId="113F157C" w:rsidR="2CC641BC" w:rsidRDefault="2CC641BC" w:rsidP="7961215B">
      <w:pPr>
        <w:pStyle w:val="ListParagraph"/>
        <w:rPr>
          <w:color w:val="00B050"/>
        </w:rPr>
      </w:pPr>
      <w:r w:rsidRPr="7961215B">
        <w:rPr>
          <w:rFonts w:eastAsia="Verdana" w:cs="Verdana"/>
          <w:color w:val="00B050"/>
        </w:rPr>
        <w:t>Actualización de la valoración de riesgos</w:t>
      </w:r>
    </w:p>
    <w:p w14:paraId="27029524" w14:textId="272B2367" w:rsidR="2CC641BC" w:rsidRDefault="2CC641BC" w:rsidP="7961215B">
      <w:pPr>
        <w:rPr>
          <w:color w:val="00B050"/>
        </w:rPr>
      </w:pPr>
      <w:r w:rsidRPr="7961215B">
        <w:rPr>
          <w:rFonts w:eastAsia="Verdana" w:cs="Verdana"/>
          <w:color w:val="00B050"/>
        </w:rPr>
        <w:t>A través del contrato GGC-616-2021 cuyo objeto fue “Contratar los servicios especializados en seguridad</w:t>
      </w:r>
      <w:r w:rsidR="65061236" w:rsidRPr="7961215B">
        <w:rPr>
          <w:rFonts w:eastAsia="Verdana" w:cs="Verdana"/>
          <w:color w:val="00B050"/>
        </w:rPr>
        <w:t xml:space="preserve"> </w:t>
      </w:r>
      <w:r w:rsidRPr="7961215B">
        <w:rPr>
          <w:rFonts w:eastAsia="Verdana" w:cs="Verdana"/>
          <w:color w:val="00B050"/>
        </w:rPr>
        <w:t>de la información y continuidad del negocio para la actualización, implementación y puesta en marcha del</w:t>
      </w:r>
      <w:r w:rsidR="706D82BB" w:rsidRPr="7961215B">
        <w:rPr>
          <w:rFonts w:eastAsia="Verdana" w:cs="Verdana"/>
          <w:color w:val="00B050"/>
        </w:rPr>
        <w:t xml:space="preserve"> </w:t>
      </w:r>
      <w:r w:rsidRPr="7961215B">
        <w:rPr>
          <w:rFonts w:eastAsia="Verdana" w:cs="Verdana"/>
          <w:color w:val="00B050"/>
        </w:rPr>
        <w:t>Modelo de Seguridad y Privacidad de la Información (MSPI), del Ministerio de Minas y Energía, promoviendo</w:t>
      </w:r>
      <w:r w:rsidR="0B9B7565" w:rsidRPr="7961215B">
        <w:rPr>
          <w:rFonts w:eastAsia="Verdana" w:cs="Verdana"/>
          <w:color w:val="00B050"/>
        </w:rPr>
        <w:t xml:space="preserve"> </w:t>
      </w:r>
      <w:r w:rsidRPr="7961215B">
        <w:rPr>
          <w:rFonts w:eastAsia="Verdana" w:cs="Verdana"/>
          <w:color w:val="00B050"/>
        </w:rPr>
        <w:t>su uso y apropiación”. Proveedor ALINA TECH SAS. $261.324.000 pesos. Se obtuvieron los siguientes</w:t>
      </w:r>
      <w:r w:rsidR="5AAF9333" w:rsidRPr="7961215B">
        <w:rPr>
          <w:rFonts w:eastAsia="Verdana" w:cs="Verdana"/>
          <w:color w:val="00B050"/>
        </w:rPr>
        <w:t xml:space="preserve"> </w:t>
      </w:r>
      <w:r w:rsidRPr="7961215B">
        <w:rPr>
          <w:rFonts w:eastAsia="Verdana" w:cs="Verdana"/>
          <w:color w:val="00B050"/>
        </w:rPr>
        <w:t>avances:</w:t>
      </w:r>
    </w:p>
    <w:p w14:paraId="59C4A7C5" w14:textId="3063028B" w:rsidR="2CC641BC" w:rsidRDefault="2CC641BC" w:rsidP="7961215B">
      <w:pPr>
        <w:rPr>
          <w:color w:val="00B050"/>
        </w:rPr>
      </w:pPr>
      <w:r w:rsidRPr="7961215B">
        <w:rPr>
          <w:rFonts w:eastAsia="Verdana" w:cs="Verdana"/>
          <w:color w:val="00B050"/>
        </w:rPr>
        <w:t>• Se identifica el grado de avance y madurez del MINENERGIA en términos de Seguridad de la</w:t>
      </w:r>
      <w:r w:rsidR="2533A888" w:rsidRPr="7961215B">
        <w:rPr>
          <w:rFonts w:eastAsia="Verdana" w:cs="Verdana"/>
          <w:color w:val="00B050"/>
        </w:rPr>
        <w:t xml:space="preserve"> </w:t>
      </w:r>
      <w:r w:rsidRPr="7961215B">
        <w:rPr>
          <w:rFonts w:eastAsia="Verdana" w:cs="Verdana"/>
          <w:color w:val="00B050"/>
        </w:rPr>
        <w:t>Información, antes y después de todas las medidas de ajuste implementadas.</w:t>
      </w:r>
    </w:p>
    <w:p w14:paraId="39AF1600" w14:textId="54124211" w:rsidR="2CC641BC" w:rsidRDefault="2CC641BC" w:rsidP="7961215B">
      <w:pPr>
        <w:rPr>
          <w:color w:val="00B050"/>
        </w:rPr>
      </w:pPr>
      <w:r w:rsidRPr="7961215B">
        <w:rPr>
          <w:rFonts w:eastAsia="Verdana" w:cs="Verdana"/>
          <w:color w:val="00B050"/>
        </w:rPr>
        <w:t>• Fueron evaluados los dominios:</w:t>
      </w:r>
    </w:p>
    <w:p w14:paraId="353F16B2" w14:textId="5EDED44F" w:rsidR="2CC641BC" w:rsidRDefault="2CC641BC" w:rsidP="7961215B">
      <w:pPr>
        <w:ind w:left="708"/>
        <w:rPr>
          <w:color w:val="00B050"/>
        </w:rPr>
      </w:pPr>
      <w:r w:rsidRPr="7961215B">
        <w:rPr>
          <w:rFonts w:eastAsia="Verdana" w:cs="Verdana"/>
          <w:color w:val="00B050"/>
        </w:rPr>
        <w:t>o A.5 Políticas de Seguridad de la Información</w:t>
      </w:r>
    </w:p>
    <w:p w14:paraId="621F5CD4" w14:textId="12601381" w:rsidR="2CC641BC" w:rsidRDefault="2CC641BC" w:rsidP="7961215B">
      <w:pPr>
        <w:ind w:left="708"/>
        <w:rPr>
          <w:color w:val="00B050"/>
        </w:rPr>
      </w:pPr>
      <w:r w:rsidRPr="7961215B">
        <w:rPr>
          <w:rFonts w:eastAsia="Verdana" w:cs="Verdana"/>
          <w:color w:val="00B050"/>
        </w:rPr>
        <w:t>o A.6 Organización de la seguridad de la Información</w:t>
      </w:r>
    </w:p>
    <w:p w14:paraId="10EA9AAE" w14:textId="007CBF40" w:rsidR="2CC641BC" w:rsidRDefault="2CC641BC" w:rsidP="7961215B">
      <w:pPr>
        <w:ind w:left="708"/>
        <w:rPr>
          <w:color w:val="00B050"/>
        </w:rPr>
      </w:pPr>
      <w:r w:rsidRPr="7961215B">
        <w:rPr>
          <w:rFonts w:eastAsia="Verdana" w:cs="Verdana"/>
          <w:color w:val="00B050"/>
        </w:rPr>
        <w:t>o A.7 Seguridad de los recursos humanos</w:t>
      </w:r>
    </w:p>
    <w:p w14:paraId="277E9413" w14:textId="365EF019" w:rsidR="2CC641BC" w:rsidRDefault="2CC641BC" w:rsidP="7961215B">
      <w:pPr>
        <w:ind w:left="708"/>
        <w:rPr>
          <w:color w:val="00B050"/>
        </w:rPr>
      </w:pPr>
      <w:r w:rsidRPr="7961215B">
        <w:rPr>
          <w:rFonts w:eastAsia="Verdana" w:cs="Verdana"/>
          <w:color w:val="00B050"/>
        </w:rPr>
        <w:t>o A.8 Gestión de activos</w:t>
      </w:r>
    </w:p>
    <w:p w14:paraId="1B8D3D6C" w14:textId="4F5081F3" w:rsidR="2CC641BC" w:rsidRDefault="2CC641BC" w:rsidP="7961215B">
      <w:pPr>
        <w:ind w:left="708"/>
        <w:rPr>
          <w:color w:val="00B050"/>
        </w:rPr>
      </w:pPr>
      <w:r w:rsidRPr="7961215B">
        <w:rPr>
          <w:rFonts w:eastAsia="Verdana" w:cs="Verdana"/>
          <w:color w:val="00B050"/>
        </w:rPr>
        <w:t>o A.9 Control de acceso</w:t>
      </w:r>
    </w:p>
    <w:p w14:paraId="5CD6F030" w14:textId="217416DB" w:rsidR="2CC641BC" w:rsidRDefault="2CC641BC" w:rsidP="7961215B">
      <w:pPr>
        <w:ind w:left="708"/>
        <w:rPr>
          <w:color w:val="00B050"/>
        </w:rPr>
      </w:pPr>
      <w:r w:rsidRPr="7961215B">
        <w:rPr>
          <w:rFonts w:eastAsia="Verdana" w:cs="Verdana"/>
          <w:color w:val="00B050"/>
        </w:rPr>
        <w:t>o A.10 Criptografía</w:t>
      </w:r>
    </w:p>
    <w:p w14:paraId="38D685DC" w14:textId="26BFAC6C" w:rsidR="2CC641BC" w:rsidRDefault="2CC641BC" w:rsidP="7961215B">
      <w:pPr>
        <w:ind w:left="708"/>
        <w:rPr>
          <w:color w:val="00B050"/>
        </w:rPr>
      </w:pPr>
      <w:r w:rsidRPr="7961215B">
        <w:rPr>
          <w:rFonts w:eastAsia="Verdana" w:cs="Verdana"/>
          <w:color w:val="00B050"/>
        </w:rPr>
        <w:t>o A.11 Seguridad física y del entorno</w:t>
      </w:r>
    </w:p>
    <w:p w14:paraId="75DA4B62" w14:textId="6617D1BD" w:rsidR="2CC641BC" w:rsidRDefault="2CC641BC" w:rsidP="7961215B">
      <w:pPr>
        <w:ind w:left="708"/>
        <w:rPr>
          <w:color w:val="00B050"/>
        </w:rPr>
      </w:pPr>
      <w:r w:rsidRPr="7961215B">
        <w:rPr>
          <w:rFonts w:eastAsia="Verdana" w:cs="Verdana"/>
          <w:color w:val="00B050"/>
        </w:rPr>
        <w:t>o A.12 Seguridad de las operaciones</w:t>
      </w:r>
    </w:p>
    <w:p w14:paraId="1CA9F9F4" w14:textId="7CC004B3" w:rsidR="2CC641BC" w:rsidRDefault="2CC641BC" w:rsidP="7961215B">
      <w:pPr>
        <w:ind w:left="708"/>
        <w:rPr>
          <w:color w:val="00B050"/>
        </w:rPr>
      </w:pPr>
      <w:r w:rsidRPr="7961215B">
        <w:rPr>
          <w:rFonts w:eastAsia="Verdana" w:cs="Verdana"/>
          <w:color w:val="00B050"/>
        </w:rPr>
        <w:t>o A.13 Seguridad de las Comunicaciones</w:t>
      </w:r>
    </w:p>
    <w:p w14:paraId="6CAE22E5" w14:textId="26D1E1D7" w:rsidR="2CC641BC" w:rsidRDefault="2CC641BC" w:rsidP="7961215B">
      <w:pPr>
        <w:ind w:left="708"/>
        <w:rPr>
          <w:color w:val="00B050"/>
        </w:rPr>
      </w:pPr>
      <w:r w:rsidRPr="7961215B">
        <w:rPr>
          <w:rFonts w:eastAsia="Verdana" w:cs="Verdana"/>
          <w:color w:val="00B050"/>
        </w:rPr>
        <w:t>o A.14 Adquisición, desarrollo y mantenimiento de sistemas</w:t>
      </w:r>
    </w:p>
    <w:p w14:paraId="1138B6BA" w14:textId="1423B421" w:rsidR="2CC641BC" w:rsidRDefault="2CC641BC" w:rsidP="7961215B">
      <w:pPr>
        <w:ind w:left="708"/>
        <w:rPr>
          <w:color w:val="00B050"/>
        </w:rPr>
      </w:pPr>
      <w:r w:rsidRPr="7961215B">
        <w:rPr>
          <w:rFonts w:eastAsia="Verdana" w:cs="Verdana"/>
          <w:color w:val="00B050"/>
        </w:rPr>
        <w:t>o A.15 Relaciones con los proveedores</w:t>
      </w:r>
    </w:p>
    <w:p w14:paraId="29A855D8" w14:textId="24531048" w:rsidR="2CC641BC" w:rsidRDefault="2CC641BC" w:rsidP="7961215B">
      <w:pPr>
        <w:ind w:left="708"/>
        <w:rPr>
          <w:color w:val="00B050"/>
        </w:rPr>
      </w:pPr>
      <w:r w:rsidRPr="7961215B">
        <w:rPr>
          <w:rFonts w:eastAsia="Verdana" w:cs="Verdana"/>
          <w:color w:val="00B050"/>
        </w:rPr>
        <w:t>o A.16 Gestión de incidentes de Seguridad de la Información</w:t>
      </w:r>
    </w:p>
    <w:p w14:paraId="545BC82D" w14:textId="29CF43D7" w:rsidR="2CC641BC" w:rsidRDefault="2CC641BC" w:rsidP="7961215B">
      <w:pPr>
        <w:ind w:left="708"/>
        <w:rPr>
          <w:color w:val="00B050"/>
        </w:rPr>
      </w:pPr>
      <w:r w:rsidRPr="7961215B">
        <w:rPr>
          <w:rFonts w:eastAsia="Verdana" w:cs="Verdana"/>
          <w:color w:val="00B050"/>
        </w:rPr>
        <w:t>o A.17 Gestión de la continuidad del negocio</w:t>
      </w:r>
    </w:p>
    <w:p w14:paraId="0D4B1608" w14:textId="25239334" w:rsidR="2CC641BC" w:rsidRDefault="2CC641BC" w:rsidP="7961215B">
      <w:pPr>
        <w:ind w:left="708"/>
        <w:rPr>
          <w:color w:val="00B050"/>
        </w:rPr>
      </w:pPr>
      <w:r w:rsidRPr="7961215B">
        <w:rPr>
          <w:rFonts w:eastAsia="Verdana" w:cs="Verdana"/>
          <w:color w:val="00B050"/>
        </w:rPr>
        <w:t>o A.18 Cumplimiento</w:t>
      </w:r>
    </w:p>
    <w:p w14:paraId="30B897A9" w14:textId="09E452EB" w:rsidR="2CC641BC" w:rsidRDefault="2CC641BC" w:rsidP="7961215B">
      <w:pPr>
        <w:rPr>
          <w:rFonts w:eastAsia="Verdana" w:cs="Verdana"/>
          <w:color w:val="00B050"/>
        </w:rPr>
      </w:pPr>
      <w:r w:rsidRPr="7961215B">
        <w:rPr>
          <w:rFonts w:eastAsia="Verdana" w:cs="Verdana"/>
          <w:color w:val="00B050"/>
        </w:rPr>
        <w:t>• Fueron actualizados e implementados más de 30 documentos referentes a los procedimientos</w:t>
      </w:r>
      <w:r w:rsidR="4C72BDE5" w:rsidRPr="7961215B">
        <w:rPr>
          <w:rFonts w:eastAsia="Verdana" w:cs="Verdana"/>
          <w:color w:val="00B050"/>
        </w:rPr>
        <w:t xml:space="preserve"> </w:t>
      </w:r>
      <w:r w:rsidRPr="7961215B">
        <w:rPr>
          <w:rFonts w:eastAsia="Verdana" w:cs="Verdana"/>
          <w:color w:val="00B050"/>
        </w:rPr>
        <w:t>necesarios para responder a los requisitos de seguridad y privacidad de la información del</w:t>
      </w:r>
      <w:r w:rsidR="7A7064D6" w:rsidRPr="7961215B">
        <w:rPr>
          <w:rFonts w:eastAsia="Verdana" w:cs="Verdana"/>
          <w:color w:val="00B050"/>
        </w:rPr>
        <w:t xml:space="preserve"> </w:t>
      </w:r>
      <w:r w:rsidRPr="7961215B">
        <w:rPr>
          <w:rFonts w:eastAsia="Verdana" w:cs="Verdana"/>
          <w:color w:val="00B050"/>
        </w:rPr>
        <w:t>MINENERGIA de acuerdo con el documento de referencia de MINTIC aplicando normas y</w:t>
      </w:r>
      <w:r w:rsidR="731486E6" w:rsidRPr="7961215B">
        <w:rPr>
          <w:rFonts w:eastAsia="Verdana" w:cs="Verdana"/>
          <w:color w:val="00B050"/>
        </w:rPr>
        <w:t xml:space="preserve"> </w:t>
      </w:r>
      <w:r w:rsidRPr="7961215B">
        <w:rPr>
          <w:rFonts w:eastAsia="Verdana" w:cs="Verdana"/>
          <w:color w:val="00B050"/>
        </w:rPr>
        <w:t>estándares internacionales vigentes y buenas prácticas aplicables.</w:t>
      </w:r>
    </w:p>
    <w:p w14:paraId="4D207B49" w14:textId="21BADE6A" w:rsidR="2CC641BC" w:rsidRDefault="2CC641BC" w:rsidP="7961215B">
      <w:pPr>
        <w:rPr>
          <w:rFonts w:eastAsia="Verdana" w:cs="Verdana"/>
          <w:color w:val="00B050"/>
        </w:rPr>
      </w:pPr>
      <w:r w:rsidRPr="7961215B">
        <w:rPr>
          <w:rFonts w:eastAsia="Verdana" w:cs="Verdana"/>
          <w:color w:val="00B050"/>
        </w:rPr>
        <w:t>• Se actualizan entre otros los planes de:</w:t>
      </w:r>
    </w:p>
    <w:p w14:paraId="0FDB1921" w14:textId="4E6607F1" w:rsidR="2CC641BC" w:rsidRDefault="2CC641BC" w:rsidP="7961215B">
      <w:pPr>
        <w:rPr>
          <w:rFonts w:eastAsia="Verdana" w:cs="Verdana"/>
          <w:color w:val="00B050"/>
        </w:rPr>
      </w:pPr>
      <w:r w:rsidRPr="7961215B">
        <w:rPr>
          <w:rFonts w:eastAsia="Verdana" w:cs="Verdana"/>
          <w:color w:val="00B050"/>
        </w:rPr>
        <w:t>o Plan de tratamiento de riesgos</w:t>
      </w:r>
    </w:p>
    <w:p w14:paraId="333E6748" w14:textId="768522BB" w:rsidR="750770E4" w:rsidRDefault="750770E4" w:rsidP="7961215B">
      <w:pPr>
        <w:rPr>
          <w:rFonts w:eastAsia="Verdana" w:cs="Verdana"/>
          <w:color w:val="00B050"/>
        </w:rPr>
      </w:pPr>
      <w:r w:rsidRPr="7961215B">
        <w:rPr>
          <w:rFonts w:eastAsia="Verdana" w:cs="Verdana"/>
          <w:color w:val="00B050"/>
        </w:rPr>
        <w:t>Plan de seguridad y privacidad de la información</w:t>
      </w:r>
    </w:p>
    <w:p w14:paraId="4649132D" w14:textId="3CF70A88" w:rsidR="750770E4" w:rsidRDefault="750770E4" w:rsidP="7961215B">
      <w:pPr>
        <w:rPr>
          <w:rFonts w:eastAsia="Verdana" w:cs="Verdana"/>
          <w:color w:val="00B050"/>
        </w:rPr>
      </w:pPr>
      <w:r w:rsidRPr="7961215B">
        <w:rPr>
          <w:rFonts w:eastAsia="Verdana" w:cs="Verdana"/>
          <w:color w:val="00B050"/>
        </w:rPr>
        <w:t>o Plan de mejoramiento continuo</w:t>
      </w:r>
    </w:p>
    <w:p w14:paraId="1C6CF305" w14:textId="6E55B972" w:rsidR="750770E4" w:rsidRDefault="750770E4" w:rsidP="7961215B">
      <w:pPr>
        <w:rPr>
          <w:rFonts w:eastAsia="Verdana" w:cs="Verdana"/>
          <w:color w:val="00B050"/>
        </w:rPr>
      </w:pPr>
      <w:r w:rsidRPr="7961215B">
        <w:rPr>
          <w:rFonts w:eastAsia="Verdana" w:cs="Verdana"/>
          <w:color w:val="00B050"/>
        </w:rPr>
        <w:t>o Plan operacional de seguridad de la información</w:t>
      </w:r>
    </w:p>
    <w:p w14:paraId="2C80CEFA" w14:textId="3ACEC941" w:rsidR="750770E4" w:rsidRDefault="750770E4" w:rsidP="7961215B">
      <w:pPr>
        <w:rPr>
          <w:rFonts w:eastAsia="Verdana" w:cs="Verdana"/>
          <w:color w:val="00B050"/>
        </w:rPr>
      </w:pPr>
      <w:r w:rsidRPr="7961215B">
        <w:rPr>
          <w:rFonts w:eastAsia="Verdana" w:cs="Verdana"/>
          <w:color w:val="00B050"/>
        </w:rPr>
        <w:t>o Plan de comunicaciones de Seguridad de la información</w:t>
      </w:r>
    </w:p>
    <w:p w14:paraId="31D3CAE2" w14:textId="37D05EDD" w:rsidR="750770E4" w:rsidRDefault="750770E4" w:rsidP="7961215B">
      <w:pPr>
        <w:rPr>
          <w:rFonts w:eastAsia="Verdana" w:cs="Verdana"/>
          <w:color w:val="00B050"/>
        </w:rPr>
      </w:pPr>
      <w:r w:rsidRPr="7961215B">
        <w:rPr>
          <w:rFonts w:eastAsia="Verdana" w:cs="Verdana"/>
          <w:color w:val="00B050"/>
        </w:rPr>
        <w:t>o Plan de sensibilización</w:t>
      </w:r>
    </w:p>
    <w:p w14:paraId="0AA7B52C" w14:textId="0801B6F7" w:rsidR="750770E4" w:rsidRDefault="750770E4" w:rsidP="7961215B">
      <w:pPr>
        <w:rPr>
          <w:rFonts w:eastAsia="Verdana" w:cs="Verdana"/>
          <w:color w:val="00B050"/>
        </w:rPr>
      </w:pPr>
      <w:r w:rsidRPr="7961215B">
        <w:rPr>
          <w:rFonts w:eastAsia="Verdana" w:cs="Verdana"/>
          <w:color w:val="00B050"/>
        </w:rPr>
        <w:t>o Plan de seguimiento y evaluación de la implementación</w:t>
      </w:r>
    </w:p>
    <w:p w14:paraId="1B10C8C1" w14:textId="224451BD" w:rsidR="68B1CF51" w:rsidRDefault="68B1CF51" w:rsidP="642B55D5">
      <w:pPr>
        <w:rPr>
          <w:rFonts w:asciiTheme="minorHAnsi" w:eastAsiaTheme="minorEastAsia" w:hAnsiTheme="minorHAnsi"/>
          <w:b/>
          <w:bCs/>
          <w:color w:val="000000" w:themeColor="text1"/>
          <w:sz w:val="24"/>
          <w:szCs w:val="24"/>
        </w:rPr>
      </w:pPr>
      <w:r w:rsidRPr="642B55D5">
        <w:rPr>
          <w:rFonts w:asciiTheme="minorHAnsi" w:eastAsiaTheme="minorEastAsia" w:hAnsiTheme="minorHAnsi"/>
          <w:b/>
          <w:bCs/>
          <w:color w:val="000000" w:themeColor="text1"/>
          <w:sz w:val="24"/>
          <w:szCs w:val="24"/>
        </w:rPr>
        <w:t>8.2</w:t>
      </w:r>
      <w:r w:rsidR="21405157" w:rsidRPr="642B55D5">
        <w:rPr>
          <w:rFonts w:asciiTheme="minorHAnsi" w:eastAsiaTheme="minorEastAsia" w:hAnsiTheme="minorHAnsi"/>
          <w:b/>
          <w:bCs/>
          <w:color w:val="000000" w:themeColor="text1"/>
          <w:sz w:val="24"/>
          <w:szCs w:val="24"/>
        </w:rPr>
        <w:t>.2</w:t>
      </w:r>
      <w:r w:rsidRPr="642B55D5">
        <w:rPr>
          <w:rFonts w:asciiTheme="minorHAnsi" w:eastAsiaTheme="minorEastAsia" w:hAnsiTheme="minorHAnsi"/>
          <w:b/>
          <w:bCs/>
          <w:color w:val="000000" w:themeColor="text1"/>
          <w:sz w:val="24"/>
          <w:szCs w:val="24"/>
        </w:rPr>
        <w:t xml:space="preserve"> Período 2023 - 2024</w:t>
      </w:r>
    </w:p>
    <w:p w14:paraId="7CCCF93B" w14:textId="2746B58A" w:rsidR="15B222D9" w:rsidRDefault="15B222D9"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Avances en Seguridad Digital y Protección de la Información</w:t>
      </w:r>
    </w:p>
    <w:p w14:paraId="7975B970" w14:textId="0EAD29C1" w:rsidR="0BF72EDB" w:rsidRDefault="0BF72EDB" w:rsidP="642B55D5">
      <w:pPr>
        <w:rPr>
          <w:rFonts w:eastAsia="Verdana" w:cs="Verdana"/>
          <w:color w:val="000000" w:themeColor="text1"/>
        </w:rPr>
      </w:pPr>
      <w:r w:rsidRPr="6A1C73F1">
        <w:rPr>
          <w:rFonts w:eastAsia="Verdana" w:cs="Verdana"/>
          <w:color w:val="000000" w:themeColor="text1"/>
        </w:rPr>
        <w:t>Con fundamento en los lineamientos de la “Política de seguridad digital”, implícita en la dimensión 3: “Gestión con valores para resultados”, del Manual Operativo del Modelo Integrado de Planeación y Gestión (MIPG), y en concordancia con el Plan de Seguridad y Privacidad de la Información (Decreto 612 de 2018), el Grupo de Tecnologías de la Información y las Comunicaciones TICS de la entidad ha logrado importantes avances entre 2023 y 2024.</w:t>
      </w:r>
    </w:p>
    <w:p w14:paraId="4CD080B8" w14:textId="20DD30EC" w:rsidR="0376BFBF" w:rsidRDefault="0376BFBF" w:rsidP="6A1C73F1">
      <w:pPr>
        <w:rPr>
          <w:rFonts w:eastAsia="Verdana" w:cs="Verdana"/>
          <w:color w:val="00B050"/>
        </w:rPr>
      </w:pPr>
      <w:r w:rsidRPr="6A1C73F1">
        <w:rPr>
          <w:rFonts w:eastAsia="Verdana" w:cs="Verdana"/>
          <w:color w:val="00B050"/>
        </w:rPr>
        <w:t>Como resultado de la consultoría y de trabajo posterior se actualizó la resolución</w:t>
      </w:r>
      <w:r w:rsidR="21503A6E" w:rsidRPr="6A1C73F1">
        <w:rPr>
          <w:rFonts w:eastAsia="Verdana" w:cs="Verdana"/>
          <w:color w:val="00B050"/>
        </w:rPr>
        <w:t>, por medio de la cual se</w:t>
      </w:r>
      <w:r w:rsidRPr="6A1C73F1">
        <w:rPr>
          <w:rFonts w:eastAsia="Verdana" w:cs="Verdana"/>
          <w:color w:val="00B050"/>
        </w:rPr>
        <w:t xml:space="preserve"> adopta el </w:t>
      </w:r>
      <w:r w:rsidR="37BF8C11" w:rsidRPr="6A1C73F1">
        <w:rPr>
          <w:rFonts w:eastAsia="Verdana" w:cs="Verdana"/>
          <w:color w:val="00B050"/>
        </w:rPr>
        <w:t>M</w:t>
      </w:r>
      <w:r w:rsidRPr="6A1C73F1">
        <w:rPr>
          <w:rFonts w:eastAsia="Verdana" w:cs="Verdana"/>
          <w:color w:val="00B050"/>
        </w:rPr>
        <w:t xml:space="preserve">odelo de </w:t>
      </w:r>
      <w:r w:rsidR="2CF21B7A" w:rsidRPr="6A1C73F1">
        <w:rPr>
          <w:rFonts w:eastAsia="Verdana" w:cs="Verdana"/>
          <w:color w:val="00B050"/>
        </w:rPr>
        <w:t>S</w:t>
      </w:r>
      <w:r w:rsidRPr="6A1C73F1">
        <w:rPr>
          <w:rFonts w:eastAsia="Verdana" w:cs="Verdana"/>
          <w:color w:val="00B050"/>
        </w:rPr>
        <w:t xml:space="preserve">eguridad y </w:t>
      </w:r>
      <w:r w:rsidR="69CA7D6A" w:rsidRPr="6A1C73F1">
        <w:rPr>
          <w:rFonts w:eastAsia="Verdana" w:cs="Verdana"/>
          <w:color w:val="00B050"/>
        </w:rPr>
        <w:t>P</w:t>
      </w:r>
      <w:r w:rsidRPr="6A1C73F1">
        <w:rPr>
          <w:rFonts w:eastAsia="Verdana" w:cs="Verdana"/>
          <w:color w:val="00B050"/>
        </w:rPr>
        <w:t xml:space="preserve">rivacidad de la </w:t>
      </w:r>
      <w:r w:rsidR="76E5299E" w:rsidRPr="6A1C73F1">
        <w:rPr>
          <w:rFonts w:eastAsia="Verdana" w:cs="Verdana"/>
          <w:color w:val="00B050"/>
        </w:rPr>
        <w:t>I</w:t>
      </w:r>
      <w:r w:rsidRPr="6A1C73F1">
        <w:rPr>
          <w:rFonts w:eastAsia="Verdana" w:cs="Verdana"/>
          <w:color w:val="00B050"/>
        </w:rPr>
        <w:t>nformación para el MINENERGIA</w:t>
      </w:r>
      <w:r w:rsidR="5C78E2A3" w:rsidRPr="6A1C73F1">
        <w:rPr>
          <w:rFonts w:eastAsia="Verdana" w:cs="Verdana"/>
          <w:color w:val="00B050"/>
        </w:rPr>
        <w:t>, y las Políticas de Seguridad, aplicables de manera transversal, a través del Acto Administrativo</w:t>
      </w:r>
      <w:r w:rsidR="6F638838" w:rsidRPr="6A1C73F1">
        <w:rPr>
          <w:rFonts w:eastAsia="Verdana" w:cs="Verdana"/>
          <w:color w:val="00B050"/>
        </w:rPr>
        <w:t xml:space="preserve"> 40646 del</w:t>
      </w:r>
      <w:r w:rsidR="0DD94B0C" w:rsidRPr="6A1C73F1">
        <w:rPr>
          <w:rFonts w:eastAsia="Verdana" w:cs="Verdana"/>
          <w:color w:val="00B050"/>
        </w:rPr>
        <w:t xml:space="preserve"> 01-11-2023.</w:t>
      </w:r>
    </w:p>
    <w:p w14:paraId="66C548A5" w14:textId="3CD31F9B" w:rsidR="0376BFBF" w:rsidRDefault="0376BFBF" w:rsidP="6A1C73F1">
      <w:pPr>
        <w:rPr>
          <w:rFonts w:eastAsia="Verdana" w:cs="Verdana"/>
          <w:color w:val="00B050"/>
        </w:rPr>
      </w:pPr>
      <w:r w:rsidRPr="7390C391">
        <w:rPr>
          <w:rFonts w:eastAsia="Verdana" w:cs="Verdana"/>
          <w:color w:val="00B050"/>
        </w:rPr>
        <w:t>D</w:t>
      </w:r>
      <w:r w:rsidR="4B6834A9" w:rsidRPr="7390C391">
        <w:rPr>
          <w:rFonts w:eastAsia="Verdana" w:cs="Verdana"/>
          <w:color w:val="00B050"/>
        </w:rPr>
        <w:t xml:space="preserve">el mismo modo se implementa el Plan de Sensibilización, de manera transversal tanto </w:t>
      </w:r>
      <w:r w:rsidR="1B576AC4" w:rsidRPr="7390C391">
        <w:rPr>
          <w:rFonts w:eastAsia="Verdana" w:cs="Verdana"/>
          <w:color w:val="00B050"/>
        </w:rPr>
        <w:t>para las acciones estratégicas y el conocimiento de estas políticas sea</w:t>
      </w:r>
      <w:r w:rsidR="73D3A333" w:rsidRPr="7390C391">
        <w:rPr>
          <w:rFonts w:eastAsia="Verdana" w:cs="Verdana"/>
          <w:color w:val="00B050"/>
        </w:rPr>
        <w:t>n</w:t>
      </w:r>
      <w:r w:rsidR="1B576AC4" w:rsidRPr="7390C391">
        <w:rPr>
          <w:rFonts w:eastAsia="Verdana" w:cs="Verdana"/>
          <w:color w:val="00B050"/>
        </w:rPr>
        <w:t xml:space="preserve"> ampliamente cono</w:t>
      </w:r>
      <w:r w:rsidR="07C1FD09" w:rsidRPr="7390C391">
        <w:rPr>
          <w:rFonts w:eastAsia="Verdana" w:cs="Verdana"/>
          <w:color w:val="00B050"/>
        </w:rPr>
        <w:t>cidos entre todos los colaboradore de la Entidad.</w:t>
      </w:r>
    </w:p>
    <w:p w14:paraId="79230724" w14:textId="189329B5" w:rsidR="1CA8EBB0" w:rsidRDefault="1CA8EBB0" w:rsidP="7390C391">
      <w:pPr>
        <w:rPr>
          <w:rFonts w:eastAsia="Verdana" w:cs="Verdana"/>
          <w:color w:val="00B050"/>
        </w:rPr>
      </w:pPr>
      <w:r w:rsidRPr="71ECAF16">
        <w:rPr>
          <w:rFonts w:eastAsia="Verdana" w:cs="Verdana"/>
          <w:color w:val="00B050"/>
        </w:rPr>
        <w:t xml:space="preserve">Dando alcance a la Iniciativa IT09, bajo la cual se fue implementando la estrategia de </w:t>
      </w:r>
      <w:r w:rsidR="49DD050F" w:rsidRPr="71ECAF16">
        <w:rPr>
          <w:rFonts w:eastAsia="Verdana" w:cs="Verdana"/>
          <w:color w:val="00B050"/>
        </w:rPr>
        <w:t>DRP para el MINENERGÍA</w:t>
      </w:r>
      <w:r w:rsidR="6D36DF74" w:rsidRPr="71ECAF16">
        <w:rPr>
          <w:rFonts w:eastAsia="Verdana" w:cs="Verdana"/>
          <w:color w:val="00B050"/>
        </w:rPr>
        <w:t>, se adquirieron capacidades de replicación, resiliencia de datos y activación bajo demanda, lo cual requiere la actualización y/o identificación de las necesidades de recuperación de desastres, la evaluación de criticidad de los sistemas de información y los servicios de tecnología que los soporta, su inclusión en el Manual de Recuperación ante Desastres, junto con su implementación y operación durante el periodo establecido</w:t>
      </w:r>
      <w:r w:rsidR="0A42C4C1" w:rsidRPr="71ECAF16">
        <w:rPr>
          <w:rFonts w:eastAsia="Verdana" w:cs="Verdana"/>
          <w:color w:val="00B050"/>
        </w:rPr>
        <w:t>, se llevaron a cabo, los siguientes procesos contractuales:</w:t>
      </w:r>
    </w:p>
    <w:p w14:paraId="1C996BEE" w14:textId="333D7D1C" w:rsidR="0A42C4C1" w:rsidRDefault="0A42C4C1" w:rsidP="71ECAF16">
      <w:pPr>
        <w:rPr>
          <w:rFonts w:eastAsia="Verdana" w:cs="Verdana"/>
          <w:color w:val="00B050"/>
        </w:rPr>
      </w:pPr>
      <w:r w:rsidRPr="6C5C0F65">
        <w:rPr>
          <w:rFonts w:eastAsia="Verdana" w:cs="Verdana"/>
          <w:color w:val="00B050"/>
        </w:rPr>
        <w:t xml:space="preserve">A través del contrato GGC-731-2021 se “Contratar la adquisición, instalación, configuración e implementación de una solución de recuperación de desastres y centro de datos alterno (DRP/DCA) Fase I, para el Ministerio de Minas y Energía, de acuerdo con el Anexo de Características Técnicas Mínimas”. Proveedor IKUSI REDES COLOMBIA SAS. El cual comprendió los siguientes elementos y </w:t>
      </w:r>
      <w:r w:rsidR="065D1F53" w:rsidRPr="6C5C0F65">
        <w:rPr>
          <w:rFonts w:eastAsia="Verdana" w:cs="Verdana"/>
          <w:color w:val="00B050"/>
        </w:rPr>
        <w:t>componentes</w:t>
      </w:r>
      <w:r w:rsidRPr="6C5C0F65">
        <w:rPr>
          <w:rFonts w:eastAsia="Verdana" w:cs="Verdana"/>
          <w:color w:val="00B050"/>
        </w:rPr>
        <w:t>:</w:t>
      </w:r>
    </w:p>
    <w:p w14:paraId="6572E883" w14:textId="24F83017" w:rsidR="0A42C4C1" w:rsidRDefault="0A42C4C1" w:rsidP="6F9A8C19">
      <w:pPr>
        <w:ind w:left="708"/>
        <w:rPr>
          <w:rFonts w:eastAsia="Verdana" w:cs="Verdana"/>
          <w:color w:val="00B050"/>
        </w:rPr>
      </w:pPr>
      <w:r w:rsidRPr="6F9A8C19">
        <w:rPr>
          <w:rFonts w:eastAsia="Verdana" w:cs="Verdana"/>
          <w:color w:val="00B050"/>
        </w:rPr>
        <w:t>o Solución hiperconvergente (3 nodos)</w:t>
      </w:r>
    </w:p>
    <w:p w14:paraId="3B570D01" w14:textId="68798375" w:rsidR="0A42C4C1" w:rsidRDefault="0A42C4C1" w:rsidP="6F9A8C19">
      <w:pPr>
        <w:ind w:left="708"/>
        <w:rPr>
          <w:rFonts w:eastAsia="Verdana" w:cs="Verdana"/>
          <w:color w:val="00B050"/>
        </w:rPr>
      </w:pPr>
      <w:r w:rsidRPr="6F9A8C19">
        <w:rPr>
          <w:rFonts w:eastAsia="Verdana" w:cs="Verdana"/>
          <w:color w:val="00B050"/>
        </w:rPr>
        <w:t>o Licenciamiento de virtualización VMWare</w:t>
      </w:r>
    </w:p>
    <w:p w14:paraId="662337C3" w14:textId="69D35B8E" w:rsidR="0A42C4C1" w:rsidRDefault="0A42C4C1" w:rsidP="6F9A8C19">
      <w:pPr>
        <w:ind w:left="708"/>
        <w:rPr>
          <w:rFonts w:eastAsia="Verdana" w:cs="Verdana"/>
          <w:color w:val="00B050"/>
        </w:rPr>
      </w:pPr>
      <w:r w:rsidRPr="6F9A8C19">
        <w:rPr>
          <w:rFonts w:eastAsia="Verdana" w:cs="Verdana"/>
          <w:color w:val="00B050"/>
        </w:rPr>
        <w:t>o Implementación de la solución</w:t>
      </w:r>
    </w:p>
    <w:p w14:paraId="4906F2A8" w14:textId="45454294" w:rsidR="0A42C4C1" w:rsidRDefault="0A42C4C1" w:rsidP="6F9A8C19">
      <w:pPr>
        <w:ind w:left="708"/>
        <w:rPr>
          <w:rFonts w:eastAsia="Verdana" w:cs="Verdana"/>
          <w:color w:val="00B050"/>
        </w:rPr>
      </w:pPr>
      <w:r w:rsidRPr="6F9A8C19">
        <w:rPr>
          <w:rFonts w:eastAsia="Verdana" w:cs="Verdana"/>
          <w:color w:val="00B050"/>
        </w:rPr>
        <w:t>o Garantía y soporte técnico de 2 años</w:t>
      </w:r>
    </w:p>
    <w:p w14:paraId="6760590B" w14:textId="29A5BFF7" w:rsidR="0A42C4C1" w:rsidRDefault="0A42C4C1" w:rsidP="71ECAF16">
      <w:pPr>
        <w:rPr>
          <w:rFonts w:eastAsia="Verdana" w:cs="Verdana"/>
          <w:color w:val="00B050"/>
        </w:rPr>
      </w:pPr>
      <w:r w:rsidRPr="4C82AB77">
        <w:rPr>
          <w:rFonts w:eastAsia="Verdana" w:cs="Verdana"/>
          <w:color w:val="00B050"/>
        </w:rPr>
        <w:t>A través del contrato GGC-656-2022 se “Contratar la adquisición, instalación, configuración e</w:t>
      </w:r>
      <w:r w:rsidR="4109E8BC" w:rsidRPr="4C82AB77">
        <w:rPr>
          <w:rFonts w:eastAsia="Verdana" w:cs="Verdana"/>
          <w:color w:val="00B050"/>
        </w:rPr>
        <w:t xml:space="preserve"> </w:t>
      </w:r>
      <w:r w:rsidRPr="4C82AB77">
        <w:rPr>
          <w:rFonts w:eastAsia="Verdana" w:cs="Verdana"/>
          <w:color w:val="00B050"/>
        </w:rPr>
        <w:t>implementación de la 2da fase del Plan de Recuperación de Desastres y Centro de Datos Alterno</w:t>
      </w:r>
      <w:r w:rsidR="6BA0C7B8" w:rsidRPr="4C82AB77">
        <w:rPr>
          <w:rFonts w:eastAsia="Verdana" w:cs="Verdana"/>
          <w:color w:val="00B050"/>
        </w:rPr>
        <w:t xml:space="preserve"> </w:t>
      </w:r>
      <w:r w:rsidRPr="4C82AB77">
        <w:rPr>
          <w:rFonts w:eastAsia="Verdana" w:cs="Verdana"/>
          <w:color w:val="00B050"/>
        </w:rPr>
        <w:t>(DRP/DCA), para el Ministerio de Minas y Energía, en el marco del proyecto de inversión</w:t>
      </w:r>
      <w:r w:rsidR="7362DE72" w:rsidRPr="4C82AB77">
        <w:rPr>
          <w:rFonts w:eastAsia="Verdana" w:cs="Verdana"/>
          <w:color w:val="00B050"/>
        </w:rPr>
        <w:t xml:space="preserve"> “</w:t>
      </w:r>
      <w:r w:rsidRPr="4C82AB77">
        <w:rPr>
          <w:rFonts w:eastAsia="Verdana" w:cs="Verdana"/>
          <w:color w:val="00B050"/>
        </w:rPr>
        <w:t>Fortalecimiento de las Capacidades Tecnológicas del Ministerio de Minas y Energía para facilitar el</w:t>
      </w:r>
      <w:r w:rsidR="63696D82" w:rsidRPr="4C82AB77">
        <w:rPr>
          <w:rFonts w:eastAsia="Verdana" w:cs="Verdana"/>
          <w:color w:val="00B050"/>
        </w:rPr>
        <w:t xml:space="preserve"> </w:t>
      </w:r>
      <w:r w:rsidRPr="4C82AB77">
        <w:rPr>
          <w:rFonts w:eastAsia="Verdana" w:cs="Verdana"/>
          <w:color w:val="00B050"/>
        </w:rPr>
        <w:t xml:space="preserve">uso, acceso y aprovechamiento de la información </w:t>
      </w:r>
      <w:r w:rsidR="2A3A52B9" w:rsidRPr="4C82AB77">
        <w:rPr>
          <w:rFonts w:eastAsia="Verdana" w:cs="Verdana"/>
          <w:color w:val="00B050"/>
        </w:rPr>
        <w:t>minero energética</w:t>
      </w:r>
      <w:r w:rsidRPr="4C82AB77">
        <w:rPr>
          <w:rFonts w:eastAsia="Verdana" w:cs="Verdana"/>
          <w:color w:val="00B050"/>
        </w:rPr>
        <w:t xml:space="preserve"> a Nivel Nacional."”. Proveedor</w:t>
      </w:r>
      <w:r w:rsidR="42F812DC" w:rsidRPr="4C82AB77">
        <w:rPr>
          <w:rFonts w:eastAsia="Verdana" w:cs="Verdana"/>
          <w:color w:val="00B050"/>
        </w:rPr>
        <w:t xml:space="preserve"> </w:t>
      </w:r>
      <w:r w:rsidRPr="4C82AB77">
        <w:rPr>
          <w:rFonts w:eastAsia="Verdana" w:cs="Verdana"/>
          <w:color w:val="00B050"/>
        </w:rPr>
        <w:t>Unión temporal CIBERSE2022. La cual comprendió los siguientes elementos:</w:t>
      </w:r>
    </w:p>
    <w:p w14:paraId="4A7CDCA3" w14:textId="41DD2799" w:rsidR="0A42C4C1" w:rsidRDefault="0A42C4C1" w:rsidP="4C82AB77">
      <w:pPr>
        <w:ind w:left="708"/>
        <w:rPr>
          <w:rFonts w:eastAsia="Verdana" w:cs="Verdana"/>
          <w:color w:val="00B050"/>
        </w:rPr>
      </w:pPr>
      <w:r w:rsidRPr="4C82AB77">
        <w:rPr>
          <w:rFonts w:eastAsia="Verdana" w:cs="Verdana"/>
          <w:color w:val="00B050"/>
        </w:rPr>
        <w:t>o Firewall de nueva generación</w:t>
      </w:r>
    </w:p>
    <w:p w14:paraId="5E33F045" w14:textId="3CCF2F6B" w:rsidR="0A42C4C1" w:rsidRDefault="0A42C4C1" w:rsidP="4C82AB77">
      <w:pPr>
        <w:ind w:left="708"/>
        <w:rPr>
          <w:rFonts w:eastAsia="Verdana" w:cs="Verdana"/>
          <w:color w:val="00B050"/>
        </w:rPr>
      </w:pPr>
      <w:r w:rsidRPr="4C82AB77">
        <w:rPr>
          <w:rFonts w:eastAsia="Verdana" w:cs="Verdana"/>
          <w:color w:val="00B050"/>
        </w:rPr>
        <w:t>o 3 balanceadores de carga y aplicaciones</w:t>
      </w:r>
    </w:p>
    <w:p w14:paraId="209B1580" w14:textId="5FA4DD07" w:rsidR="0A42C4C1" w:rsidRDefault="0A42C4C1" w:rsidP="4C82AB77">
      <w:pPr>
        <w:ind w:left="708"/>
        <w:rPr>
          <w:rFonts w:eastAsia="Verdana" w:cs="Verdana"/>
          <w:color w:val="00B050"/>
        </w:rPr>
      </w:pPr>
      <w:r w:rsidRPr="4C82AB77">
        <w:rPr>
          <w:rFonts w:eastAsia="Verdana" w:cs="Verdana"/>
          <w:color w:val="00B050"/>
        </w:rPr>
        <w:t>o 1 sandbox</w:t>
      </w:r>
    </w:p>
    <w:p w14:paraId="5E82DFF6" w14:textId="2D7DA981" w:rsidR="0A42C4C1" w:rsidRDefault="0A42C4C1" w:rsidP="4C82AB77">
      <w:pPr>
        <w:ind w:left="708"/>
        <w:rPr>
          <w:rFonts w:eastAsia="Verdana" w:cs="Verdana"/>
          <w:color w:val="00B050"/>
        </w:rPr>
      </w:pPr>
      <w:r w:rsidRPr="4C82AB77">
        <w:rPr>
          <w:rFonts w:eastAsia="Verdana" w:cs="Verdana"/>
          <w:color w:val="00B050"/>
        </w:rPr>
        <w:t>o 1 SIEM</w:t>
      </w:r>
    </w:p>
    <w:p w14:paraId="6DDB93B3" w14:textId="1D70BA0F" w:rsidR="0A42C4C1" w:rsidRDefault="0A42C4C1" w:rsidP="4C82AB77">
      <w:pPr>
        <w:ind w:left="708"/>
        <w:rPr>
          <w:rFonts w:eastAsia="Verdana" w:cs="Verdana"/>
          <w:color w:val="00B050"/>
        </w:rPr>
      </w:pPr>
      <w:r w:rsidRPr="4C82AB77">
        <w:rPr>
          <w:rFonts w:eastAsia="Verdana" w:cs="Verdana"/>
          <w:color w:val="00B050"/>
        </w:rPr>
        <w:t>o Implementación de toda la plataforma y los dispositivos adquiridos</w:t>
      </w:r>
    </w:p>
    <w:p w14:paraId="4DCFABE5" w14:textId="052C4CB5" w:rsidR="0A42C4C1" w:rsidRDefault="0A42C4C1" w:rsidP="4C82AB77">
      <w:pPr>
        <w:ind w:left="708"/>
        <w:rPr>
          <w:rFonts w:eastAsia="Verdana" w:cs="Verdana"/>
          <w:color w:val="00B050"/>
        </w:rPr>
      </w:pPr>
      <w:r w:rsidRPr="4C82AB77">
        <w:rPr>
          <w:rFonts w:eastAsia="Verdana" w:cs="Verdana"/>
          <w:color w:val="00B050"/>
        </w:rPr>
        <w:t>o Garantía y soporte técnico de 2 años</w:t>
      </w:r>
    </w:p>
    <w:p w14:paraId="70E1EDB3" w14:textId="25B56F55" w:rsidR="0A42C4C1" w:rsidRDefault="2058FE25" w:rsidP="71ECAF16">
      <w:pPr>
        <w:rPr>
          <w:rFonts w:eastAsia="Verdana" w:cs="Verdana"/>
          <w:color w:val="00B050"/>
        </w:rPr>
      </w:pPr>
      <w:r w:rsidRPr="7218C9C7">
        <w:rPr>
          <w:rFonts w:eastAsia="Verdana" w:cs="Verdana"/>
          <w:color w:val="00B050"/>
        </w:rPr>
        <w:t xml:space="preserve">Finalmente, a través del Contrato </w:t>
      </w:r>
      <w:r w:rsidR="0A42C4C1" w:rsidRPr="7218C9C7">
        <w:rPr>
          <w:rFonts w:eastAsia="Verdana" w:cs="Verdana"/>
          <w:color w:val="00B050"/>
        </w:rPr>
        <w:t>GGC-605-2022: Aunar esfuerzos técnicos, administrativos y económicos entre el MME y el IPSE para</w:t>
      </w:r>
      <w:r w:rsidR="0107ADF8" w:rsidRPr="7218C9C7">
        <w:rPr>
          <w:rFonts w:eastAsia="Verdana" w:cs="Verdana"/>
          <w:color w:val="00B050"/>
        </w:rPr>
        <w:t xml:space="preserve"> </w:t>
      </w:r>
      <w:r w:rsidR="0A42C4C1" w:rsidRPr="7218C9C7">
        <w:rPr>
          <w:rFonts w:eastAsia="Verdana" w:cs="Verdana"/>
          <w:color w:val="00B050"/>
        </w:rPr>
        <w:t>la implementación de la solución de recuperación de desastres y centro de datos alterno (DRP/DCA)</w:t>
      </w:r>
      <w:r w:rsidR="65AF8372" w:rsidRPr="7218C9C7">
        <w:rPr>
          <w:rFonts w:eastAsia="Verdana" w:cs="Verdana"/>
          <w:color w:val="00B050"/>
        </w:rPr>
        <w:t xml:space="preserve"> </w:t>
      </w:r>
      <w:r w:rsidR="0A42C4C1" w:rsidRPr="7218C9C7">
        <w:rPr>
          <w:rFonts w:eastAsia="Verdana" w:cs="Verdana"/>
          <w:color w:val="00B050"/>
        </w:rPr>
        <w:t xml:space="preserve">del Ministerio de Minas y Energía. Convenio interadministrativo IPSE. </w:t>
      </w:r>
    </w:p>
    <w:p w14:paraId="0E622F7B" w14:textId="2DAEEE07" w:rsidR="32F42B1B" w:rsidRDefault="32F42B1B" w:rsidP="642B55D5">
      <w:pPr>
        <w:rPr>
          <w:rFonts w:asciiTheme="minorHAnsi" w:eastAsiaTheme="minorEastAsia" w:hAnsiTheme="minorHAnsi"/>
          <w:b/>
          <w:bCs/>
          <w:color w:val="000000" w:themeColor="text1"/>
          <w:sz w:val="24"/>
          <w:szCs w:val="24"/>
        </w:rPr>
      </w:pPr>
      <w:r w:rsidRPr="642B55D5">
        <w:rPr>
          <w:rFonts w:asciiTheme="minorHAnsi" w:eastAsiaTheme="minorEastAsia" w:hAnsiTheme="minorHAnsi"/>
          <w:b/>
          <w:bCs/>
          <w:color w:val="000000" w:themeColor="text1"/>
          <w:sz w:val="24"/>
          <w:szCs w:val="24"/>
        </w:rPr>
        <w:t>8.2.3 Período 2024</w:t>
      </w:r>
      <w:r w:rsidR="302D0E39" w:rsidRPr="642B55D5">
        <w:rPr>
          <w:rFonts w:asciiTheme="minorHAnsi" w:eastAsiaTheme="minorEastAsia" w:hAnsiTheme="minorHAnsi"/>
          <w:b/>
          <w:bCs/>
          <w:color w:val="000000" w:themeColor="text1"/>
          <w:sz w:val="24"/>
          <w:szCs w:val="24"/>
        </w:rPr>
        <w:t xml:space="preserve"> – </w:t>
      </w:r>
      <w:r w:rsidRPr="642B55D5">
        <w:rPr>
          <w:rFonts w:asciiTheme="minorHAnsi" w:eastAsiaTheme="minorEastAsia" w:hAnsiTheme="minorHAnsi"/>
          <w:b/>
          <w:bCs/>
          <w:color w:val="000000" w:themeColor="text1"/>
          <w:sz w:val="24"/>
          <w:szCs w:val="24"/>
        </w:rPr>
        <w:t>2025</w:t>
      </w:r>
    </w:p>
    <w:p w14:paraId="28685D35" w14:textId="02DAE99A" w:rsidR="302D0E39" w:rsidRDefault="302D0E39"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Fortalecimiento de la Seguridad Digital y la Ciberseguridad Institucional</w:t>
      </w:r>
    </w:p>
    <w:p w14:paraId="2C454A50" w14:textId="3EAF1807" w:rsidR="30B0CF5E" w:rsidRDefault="30B0CF5E" w:rsidP="642B55D5">
      <w:pPr>
        <w:rPr>
          <w:rFonts w:eastAsia="Verdana" w:cs="Verdana"/>
          <w:color w:val="000000" w:themeColor="text1"/>
        </w:rPr>
      </w:pPr>
      <w:r w:rsidRPr="642B55D5">
        <w:rPr>
          <w:rFonts w:eastAsia="Verdana" w:cs="Verdana"/>
          <w:color w:val="000000" w:themeColor="text1"/>
        </w:rPr>
        <w:t>El Ministerio ha venido implementando la Política Pública de Seguridad Digital, ajustándose siempre dentro del marco y lineamientos establecidos por el Gobierno. En respuesta, el Ministerio asumió el compromiso de fortalecer su capacidad institucional en materia de ciberseguridad, ciberdefensa, protección de la información y seguridad de la información a partir de esto se tiene los siguientes logros:</w:t>
      </w:r>
    </w:p>
    <w:p w14:paraId="0AA58153" w14:textId="5BE13C6E" w:rsidR="30B0CF5E" w:rsidRDefault="30B0CF5E" w:rsidP="642B55D5">
      <w:pPr>
        <w:pStyle w:val="ListParagraph"/>
        <w:rPr>
          <w:rFonts w:eastAsia="Verdana" w:cs="Verdana"/>
          <w:color w:val="000000" w:themeColor="text1"/>
        </w:rPr>
      </w:pPr>
      <w:r w:rsidRPr="642B55D5">
        <w:rPr>
          <w:rFonts w:eastAsia="Verdana" w:cs="Verdana"/>
          <w:color w:val="000000" w:themeColor="text1"/>
        </w:rPr>
        <w:t>Actualización de manuales, procedimientos y procesos de seguridad informática: Se han venido desarrollando nuevos lineamientos internos, incluyendo un Manual de Uso Responsable de Inteligencia Artificial, lineamientos de cifrado para la transferencia de archivos confidenciales, y nuevos acuerdos de confidencialidad, reforzando la protección de la información sensible.</w:t>
      </w:r>
    </w:p>
    <w:p w14:paraId="7F015B27" w14:textId="76D985AC" w:rsidR="30B0CF5E" w:rsidRDefault="30B0CF5E" w:rsidP="642B55D5">
      <w:pPr>
        <w:pStyle w:val="ListParagraph"/>
        <w:rPr>
          <w:rFonts w:eastAsia="Verdana" w:cs="Verdana"/>
          <w:color w:val="000000" w:themeColor="text1"/>
        </w:rPr>
      </w:pPr>
      <w:r w:rsidRPr="642B55D5">
        <w:rPr>
          <w:rFonts w:eastAsia="Verdana" w:cs="Verdana"/>
          <w:color w:val="000000" w:themeColor="text1"/>
        </w:rPr>
        <w:t>Gestión integral de activos de información: se desarrolló una herramienta integral (Registro de activos de información, Índice de información clasificada, reservada y Esquema documental) para inventariar y priorizar los activos de información y procesos críticos del Ministerio, orientando la protección hacia los activos más sensibles.</w:t>
      </w:r>
    </w:p>
    <w:p w14:paraId="1C9D5EE5" w14:textId="55A5B7BE" w:rsidR="30B0CF5E" w:rsidRDefault="30B0CF5E" w:rsidP="642B55D5">
      <w:pPr>
        <w:pStyle w:val="ListParagraph"/>
        <w:rPr>
          <w:rFonts w:eastAsia="Verdana" w:cs="Verdana"/>
          <w:color w:val="000000" w:themeColor="text1"/>
        </w:rPr>
      </w:pPr>
      <w:r w:rsidRPr="642B55D5">
        <w:rPr>
          <w:rFonts w:eastAsia="Verdana" w:cs="Verdana"/>
          <w:color w:val="000000" w:themeColor="text1"/>
        </w:rPr>
        <w:t>Fortalecimiento del plan de seguridad: Se robusteció el Plan de Seguridad y Privacidad de la Información (PSPI), con un seguimiento más efectivo a las políticas, gestión activa de vulnerabilidades (sobre 41 sistemas de información/aplicativos y 200 servidores virtuales), programas de capacitación que fomentan la cultura de seguridad digital (semana de la seguridad de la información noviembre 2024, 7 charlas y 10 infografías), y definición de indicadores que permitan tener métricas para la implementación del mismo (Disponibilidad de herramientas de seguridad perimetral, sensibilización y cultura, entre otros).</w:t>
      </w:r>
    </w:p>
    <w:p w14:paraId="01A9A962" w14:textId="53BF83CD" w:rsidR="30B0CF5E" w:rsidRDefault="30B0CF5E" w:rsidP="642B55D5">
      <w:pPr>
        <w:pStyle w:val="ListParagraph"/>
        <w:rPr>
          <w:rFonts w:eastAsia="Verdana" w:cs="Verdana"/>
          <w:color w:val="000000" w:themeColor="text1"/>
        </w:rPr>
      </w:pPr>
      <w:r w:rsidRPr="642B55D5">
        <w:rPr>
          <w:rFonts w:eastAsia="Verdana" w:cs="Verdana"/>
          <w:color w:val="000000" w:themeColor="text1"/>
        </w:rPr>
        <w:t>Enfoque preventivo de riesgos: se reforzó el plan de tratamiento de riesgos de seguridad de la información con un enfoque preventivo, implementando controles proactivos para mitigar riesgos antes de que se materialicen y ajustando las estrategias según las amenazas emergentes.</w:t>
      </w:r>
    </w:p>
    <w:p w14:paraId="78FA504F" w14:textId="2CBB091A" w:rsidR="30B0CF5E" w:rsidRDefault="30B0CF5E" w:rsidP="642B55D5">
      <w:pPr>
        <w:pStyle w:val="ListParagraph"/>
        <w:rPr>
          <w:rFonts w:eastAsia="Verdana" w:cs="Verdana"/>
          <w:color w:val="000000" w:themeColor="text1"/>
        </w:rPr>
      </w:pPr>
      <w:r w:rsidRPr="642B55D5">
        <w:rPr>
          <w:rFonts w:eastAsia="Verdana" w:cs="Verdana"/>
          <w:color w:val="000000" w:themeColor="text1"/>
        </w:rPr>
        <w:t>Continuidad del negocio priorizada: Se está adelantando el proceso para determinar e implementar en términos de infraestructura todo el esquema para el Plan de Recuperación ante Desastres y el Centro Alterno de Datos (DRP/DCA, por sus siglas en inglés), que permitan diseñar, construir y gestionar el Plan de Continuidad del Negocio (BCP, por su sigla en inglés), inicialmente para atender los procesos críticos del Ministerio.</w:t>
      </w:r>
    </w:p>
    <w:p w14:paraId="29F1635D" w14:textId="2A7A25D1" w:rsidR="30B0CF5E" w:rsidRDefault="30B0CF5E" w:rsidP="642B55D5">
      <w:pPr>
        <w:pStyle w:val="ListParagraph"/>
        <w:rPr>
          <w:rFonts w:eastAsia="Verdana" w:cs="Verdana"/>
          <w:color w:val="000000" w:themeColor="text1"/>
        </w:rPr>
      </w:pPr>
      <w:r w:rsidRPr="642B55D5">
        <w:rPr>
          <w:rFonts w:eastAsia="Verdana" w:cs="Verdana"/>
          <w:color w:val="000000" w:themeColor="text1"/>
        </w:rPr>
        <w:t>Protección de sistemas críticos: Identificación de sistemas de información críticos y sensibles para la nación, como lo es, por ejemplo, el SICOM, con el fin de robustecer procesos y lineamientos acordes a la seguridad y privacidad que maneja dicha herramienta.</w:t>
      </w:r>
    </w:p>
    <w:p w14:paraId="56BA6771" w14:textId="51873A65" w:rsidR="30B0CF5E" w:rsidRDefault="30B0CF5E" w:rsidP="642B55D5">
      <w:pPr>
        <w:pStyle w:val="ListParagraph"/>
        <w:rPr>
          <w:rFonts w:eastAsia="Verdana" w:cs="Verdana"/>
          <w:color w:val="000000" w:themeColor="text1"/>
        </w:rPr>
      </w:pPr>
      <w:r w:rsidRPr="642B55D5">
        <w:rPr>
          <w:rFonts w:eastAsia="Verdana" w:cs="Verdana"/>
          <w:color w:val="000000" w:themeColor="text1"/>
        </w:rPr>
        <w:t>Simulaciones de ataques: se realizaron ejercicios de simulación de ataques cibernéticos (como campañas de phishing e ingeniería social, resultados en la tabla siguiente) y se proyecta pruebas de hacking ético para detectar brechas de seguridad desde la perspectiva de un atacante, obteniendo hallazgos que permitieron fortalecer la postura de seguridad sin exponer información real.</w:t>
      </w:r>
    </w:p>
    <w:p w14:paraId="6E280A20" w14:textId="273F3E26" w:rsidR="30B0CF5E" w:rsidRDefault="30B0CF5E" w:rsidP="642B55D5">
      <w:pPr>
        <w:pStyle w:val="ListParagraph"/>
        <w:rPr>
          <w:rFonts w:eastAsia="Verdana" w:cs="Verdana"/>
          <w:color w:val="000000" w:themeColor="text1"/>
        </w:rPr>
      </w:pPr>
      <w:r w:rsidRPr="16B512B3">
        <w:rPr>
          <w:rFonts w:eastAsia="Verdana" w:cs="Verdana"/>
          <w:color w:val="000000" w:themeColor="text1"/>
        </w:rPr>
        <w:t>Arquitectura empresarial en seguridad: Se avanzó en la adopción del Modelo de Arquitectura Empresarial (MAE), en el dominio de seguridad de la información, revisando y mejorando los artefactos de arquitectura de seguridad institucional conforme a las guías de MINTIC, con miras a fortalecer la gestión integral de la seguridad digital en la entidad.</w:t>
      </w:r>
    </w:p>
    <w:p w14:paraId="0C3ECA8C" w14:textId="70FD2C66" w:rsidR="20712D99" w:rsidRDefault="20712D99" w:rsidP="16B512B3">
      <w:pPr>
        <w:rPr>
          <w:rFonts w:eastAsia="Verdana" w:cs="Verdana"/>
          <w:color w:val="FF0000"/>
        </w:rPr>
      </w:pPr>
      <w:r w:rsidRPr="364889D1">
        <w:rPr>
          <w:rFonts w:eastAsia="Verdana" w:cs="Verdana"/>
          <w:color w:val="FF0000"/>
        </w:rPr>
        <w:t>2025-2026</w:t>
      </w:r>
    </w:p>
    <w:p w14:paraId="1A81F74A" w14:textId="29DDAC2C" w:rsidR="004F7A21" w:rsidRPr="004F7A21" w:rsidRDefault="004F7A21" w:rsidP="004F7A21">
      <w:pPr>
        <w:rPr>
          <w:rFonts w:eastAsia="Verdana" w:cs="Verdana"/>
          <w:color w:val="FF0000"/>
        </w:rPr>
      </w:pPr>
      <w:r w:rsidRPr="364889D1">
        <w:rPr>
          <w:rFonts w:eastAsia="Verdana" w:cs="Verdana"/>
          <w:color w:val="FF0000"/>
        </w:rPr>
        <w:t>Durante la vigencia 2025, el Ministerio avanzó de manera significativa en el fortalecimiento de su postura de seguridad de la información, mediante la ejecución de actividades orientadas a la prevención, detección y mitigación de riesgos tecnológicos, así como al fortalecimiento de la cultura organizacional en materia de seguridad digital.</w:t>
      </w:r>
    </w:p>
    <w:p w14:paraId="095A127E" w14:textId="759EE0B2" w:rsidR="004F7A21" w:rsidRPr="004F7A21" w:rsidRDefault="004F7A21" w:rsidP="004F7A21">
      <w:pPr>
        <w:rPr>
          <w:rFonts w:eastAsia="Verdana" w:cs="Verdana"/>
          <w:color w:val="FF0000"/>
        </w:rPr>
      </w:pPr>
      <w:r w:rsidRPr="364889D1">
        <w:rPr>
          <w:rFonts w:eastAsia="Verdana" w:cs="Verdana"/>
          <w:color w:val="FF0000"/>
        </w:rPr>
        <w:t>En este contexto, se adelantaron pruebas controladas de pentesting y ejercicios técnicos de evaluación de seguridad sobre la infraestructura tecnológica institucional, con el propósito de identificar vulnerabilidades y oportunidades de mejora en los sistemas de información y activos tecnológicos críticos. Estas actividades permitieron establecer planes de tratamiento y mitigación de riesgos, contribuyendo al fortalecimiento de los controles de seguridad implementados por la Entidad y mejorando la capacidad institucional para anticipar y responder ante posibles incidentes de seguridad.</w:t>
      </w:r>
    </w:p>
    <w:p w14:paraId="6911BE8B" w14:textId="280D35AA" w:rsidR="004F7A21" w:rsidRPr="004F7A21" w:rsidRDefault="004F7A21" w:rsidP="004F7A21">
      <w:pPr>
        <w:rPr>
          <w:rFonts w:eastAsia="Verdana" w:cs="Verdana"/>
          <w:color w:val="FF0000"/>
        </w:rPr>
      </w:pPr>
      <w:r w:rsidRPr="364889D1">
        <w:rPr>
          <w:rFonts w:eastAsia="Verdana" w:cs="Verdana"/>
          <w:color w:val="FF0000"/>
        </w:rPr>
        <w:t>De igual manera, se desarrollaron jornadas permanentes de capacitación y sensibilización dirigidas a funcionarios, contratistas y colaboradores, enfocadas en buenas prácticas de seguridad de la información, prevención de incidentes, identificación de correos fraudulentos, protección de datos, manejo seguro de contraseñas y uso adecuado de los recursos tecnológicos institucionales. Estas actividades permitieron fortalecer la apropiación de lineamientos institucionales y generar mayor conciencia frente a las amenazas cibernéticas actuales y los riesgos asociados al manejo de la información.</w:t>
      </w:r>
    </w:p>
    <w:p w14:paraId="52FEBAA7" w14:textId="5F1AF857" w:rsidR="004F7A21" w:rsidRPr="004F7A21" w:rsidRDefault="004F7A21" w:rsidP="004F7A21">
      <w:pPr>
        <w:rPr>
          <w:rFonts w:eastAsia="Verdana" w:cs="Verdana"/>
          <w:color w:val="FF0000"/>
        </w:rPr>
      </w:pPr>
      <w:r w:rsidRPr="364889D1">
        <w:rPr>
          <w:rFonts w:eastAsia="Verdana" w:cs="Verdana"/>
          <w:color w:val="FF0000"/>
        </w:rPr>
        <w:t>Adicionalmente, se realizaron actividades de monitoreo y seguimiento a riesgos de seguridad de la información, así como ejercicios de revisión, validación y actualización de los activos de información institucionales, permitiendo mejorar la identificación de información crítica, su clasificación, valoración y los controles asociados para su protección. Estas acciones fortalecieron el conocimiento institucional sobre los procesos críticos y facilitaron la toma de decisiones orientadas a la protección de la información y continuidad de la operación institucional.</w:t>
      </w:r>
    </w:p>
    <w:p w14:paraId="159A40BB" w14:textId="0267018C" w:rsidR="004F7A21" w:rsidRPr="004F7A21" w:rsidRDefault="004F7A21" w:rsidP="004F7A21">
      <w:pPr>
        <w:rPr>
          <w:rFonts w:eastAsia="Verdana" w:cs="Verdana"/>
          <w:color w:val="FF0000"/>
        </w:rPr>
      </w:pPr>
      <w:r w:rsidRPr="364889D1">
        <w:rPr>
          <w:rFonts w:eastAsia="Verdana" w:cs="Verdana"/>
          <w:color w:val="FF0000"/>
        </w:rPr>
        <w:t>En paralelo, se adelantó el fortalecimiento y actualización de las políticas de seguridad de la información al interior del Ministerio, alineándolas con los lineamientos del Modelo de Seguridad y Privacidad de la Información (MSPI), las directrices emitidas por el Ministerio TIC y buenas prácticas internacionales en materia de gestión de seguridad de la información y gestión del riesgo.</w:t>
      </w:r>
    </w:p>
    <w:p w14:paraId="1C9A38BB" w14:textId="5F7A420C" w:rsidR="004F7A21" w:rsidRPr="004F7A21" w:rsidRDefault="004F7A21" w:rsidP="004F7A21">
      <w:pPr>
        <w:rPr>
          <w:rFonts w:eastAsia="Verdana" w:cs="Verdana"/>
          <w:color w:val="FF0000"/>
        </w:rPr>
      </w:pPr>
      <w:r w:rsidRPr="364889D1">
        <w:rPr>
          <w:rFonts w:eastAsia="Verdana" w:cs="Verdana"/>
          <w:color w:val="FF0000"/>
        </w:rPr>
        <w:t>Así mismo, durante la vigencia 2025 se ejecutaron actividades asociadas al proyecto de fortalecimiento y mejora continua del MSPI, tomando como punto de partida los resultados del autodiagnóstico institucional realizado previamente. A partir de dicho ejercicio se identificaron oportunidades de mejora y brechas de cumplimiento, definiéndose actividades orientadas al fortalecimiento de controles, actualización documental, madurez de procesos, apropiación institucional y consolidación de capacidades técnicas y administrativas en seguridad de la información.</w:t>
      </w:r>
    </w:p>
    <w:p w14:paraId="204C9278" w14:textId="2286353C" w:rsidR="004F7A21" w:rsidRPr="004F7A21" w:rsidRDefault="004F7A21" w:rsidP="004F7A21">
      <w:pPr>
        <w:rPr>
          <w:rFonts w:eastAsia="Verdana" w:cs="Verdana"/>
          <w:color w:val="FF0000"/>
        </w:rPr>
      </w:pPr>
      <w:r w:rsidRPr="004F7A21">
        <w:rPr>
          <w:rFonts w:eastAsia="Verdana" w:cs="Verdana"/>
          <w:color w:val="FF0000"/>
        </w:rPr>
        <w:t>De igual forma, se contó con el desarrollo de auditorías internas en materia de seguridad de la información, las cuales permitieron identificar diferentes campos de acción y aspectos susceptibles de fortalecimiento al interior del Ministerio, especialmente en temas relacionados con gobernanza, documentación, seguimiento de controles, gestión de riesgos, administración de activos, cumplimiento normativo y apropiación institucional de lineamientos de seguridad digital. Los resultados obtenidos constituyen un insumo fundamental para la definición de acciones de mejora, priorización de actividades y fortalecimiento continuo del modelo institucional de seguridad y privacidad de la información.</w:t>
      </w:r>
    </w:p>
    <w:p w14:paraId="57CF59EA" w14:textId="19DCBDBE" w:rsidR="004F7A21" w:rsidRPr="004F7A21" w:rsidRDefault="004F7A21" w:rsidP="004F7A21">
      <w:pPr>
        <w:rPr>
          <w:rFonts w:eastAsia="Verdana" w:cs="Verdana"/>
          <w:color w:val="FF0000"/>
        </w:rPr>
      </w:pPr>
      <w:r w:rsidRPr="004F7A21">
        <w:rPr>
          <w:rFonts w:eastAsia="Verdana" w:cs="Verdana"/>
          <w:color w:val="FF0000"/>
        </w:rPr>
        <w:t>Para la vigencia 2026, el Ministerio continúa trabajando bajo un enfoque de mejora continua del MSPI, avanzando en la actualización y fortalecimiento de la implementación de controles alineados con la norma ISO/IEC 27001 y el direccionamiento estratégico definido por el Ministerio TIC en materia de Seguridad y Privacidad de la Información. Estas actividades buscan continuar incrementando el nivel de madurez institucional, fortalecer la gestión del riesgo y consolidar mecanismos de protección adecuados para la información institucional.</w:t>
      </w:r>
    </w:p>
    <w:p w14:paraId="05C7BA06" w14:textId="7BE85251" w:rsidR="004F7A21" w:rsidRPr="004F7A21" w:rsidRDefault="004F7A21" w:rsidP="004F7A21">
      <w:pPr>
        <w:rPr>
          <w:rFonts w:eastAsia="Verdana" w:cs="Verdana"/>
          <w:color w:val="FF0000"/>
        </w:rPr>
      </w:pPr>
      <w:r w:rsidRPr="004F7A21">
        <w:rPr>
          <w:rFonts w:eastAsia="Verdana" w:cs="Verdana"/>
          <w:color w:val="FF0000"/>
        </w:rPr>
        <w:t>En este marco, se continúa ejecutando el plan de sensibilización y capacitación institucional en seguridad y privacidad de la información, conforme a las actividades definidas en los planes institucionales de seguridad digital y seguridad de la información. Las jornadas desarrolladas durante 2026 han estado orientadas a fortalecer la cultura de seguridad al interior de la Entidad, promoviendo buenas prácticas relacionadas con protección de información, prevención de ataques cibernéticos, uso seguro de herramientas tecnológicas, gestión de incidentes y responsabilidad en el tratamiento de la información institucional. Estas actividades buscan fortalecer el componente humano como una de las principales líneas de defensa frente a amenazas de seguridad digital.</w:t>
      </w:r>
    </w:p>
    <w:p w14:paraId="3A56C207" w14:textId="5CE4ED1A" w:rsidR="004F7A21" w:rsidRPr="004F7A21" w:rsidRDefault="004F7A21" w:rsidP="004F7A21">
      <w:pPr>
        <w:rPr>
          <w:rFonts w:eastAsia="Verdana" w:cs="Verdana"/>
          <w:color w:val="FF0000"/>
        </w:rPr>
      </w:pPr>
      <w:r w:rsidRPr="004F7A21">
        <w:rPr>
          <w:rFonts w:eastAsia="Verdana" w:cs="Verdana"/>
          <w:color w:val="FF0000"/>
        </w:rPr>
        <w:t>Así mismo, actualmente se adelanta el proyecto de implementación de una herramienta GRC (Gobierno, Riesgo y Cumplimiento), iniciativa estratégica que permitirá fortalecer la gobernanza institucional de seguridad de la información. Una herramienta GRC es una plataforma especializada que facilita la administración centralizada de riesgos, controles, auditorías, cumplimiento normativo, planes de acción, indicadores y evidencias asociadas a la gestión institucional. Su implementación permitirá consolidar la información clave para la toma de decisiones, mejorar la trazabilidad y seguimiento de actividades, optimizar procesos de control y fortalecer la capacidad institucional para gestionar de manera integral los riesgos asociados a la seguridad de la información y al cumplimiento normativo.</w:t>
      </w:r>
    </w:p>
    <w:p w14:paraId="18A46147" w14:textId="415DA1C3" w:rsidR="004F7A21" w:rsidRPr="004F7A21" w:rsidRDefault="004F7A21" w:rsidP="004F7A21">
      <w:pPr>
        <w:rPr>
          <w:rFonts w:eastAsia="Verdana" w:cs="Verdana"/>
          <w:color w:val="FF0000"/>
        </w:rPr>
      </w:pPr>
      <w:r w:rsidRPr="004F7A21">
        <w:rPr>
          <w:rFonts w:eastAsia="Verdana" w:cs="Verdana"/>
          <w:color w:val="FF0000"/>
        </w:rPr>
        <w:t>Adicionalmente, la implementación de esta herramienta contribuirá a mejorar la articulación entre los diferentes procesos institucionales, facilitará el seguimiento a planes de mejoramiento derivados de auditorías y autodiagnósticos, y permitirá contar con información centralizada y oportuna para apoyar la toma de decisiones estratégicas relacionadas con seguridad digital, continuidad operativa y cumplimiento regulatorio.</w:t>
      </w:r>
    </w:p>
    <w:p w14:paraId="076CBDE9" w14:textId="40F4592B" w:rsidR="00FD34BC" w:rsidRPr="00FD34BC" w:rsidRDefault="00FD34BC" w:rsidP="00FD34BC">
      <w:pPr>
        <w:rPr>
          <w:rFonts w:eastAsia="Verdana" w:cs="Verdana"/>
          <w:color w:val="FF0000"/>
        </w:rPr>
      </w:pPr>
      <w:r w:rsidRPr="00FD34BC">
        <w:rPr>
          <w:rFonts w:eastAsia="Verdana" w:cs="Verdana"/>
          <w:color w:val="FF0000"/>
        </w:rPr>
        <w:t>Adicionalmente, desde la vigencia 2025 el Ministerio viene adelantando mesas de trabajo y ejercicios de revisión proceso a proceso, orientados a identificar actividades críticas, dependencias operativas, activos de información e infraestructura tecnológica esencial para la operación institucional. Como resultado de este ejercicio, se ha venido trabajando en la actualización y fortalecimiento de los documentos maestros de continuidad de negocio, entre los cuales se destacan el BIA (Business Impact Analysis o Análisis de Impacto al Negocio), el DRP (Disaster Recovery Plan o Plan de Recuperación ante Desastres) y el BCP (Business Continuity Plan o Plan de Continuidad del Negocio).</w:t>
      </w:r>
    </w:p>
    <w:p w14:paraId="2973BC30" w14:textId="26349D9D" w:rsidR="00FD34BC" w:rsidRPr="00FD34BC" w:rsidRDefault="00FD34BC" w:rsidP="00FD34BC">
      <w:pPr>
        <w:rPr>
          <w:rFonts w:eastAsia="Verdana" w:cs="Verdana"/>
          <w:color w:val="FF0000"/>
        </w:rPr>
      </w:pPr>
      <w:r w:rsidRPr="00FD34BC">
        <w:rPr>
          <w:rFonts w:eastAsia="Verdana" w:cs="Verdana"/>
          <w:color w:val="FF0000"/>
        </w:rPr>
        <w:t>Estas actividades han permitido evaluar de manera integral los impactos potenciales derivados de interrupciones operativas, identificar tiempos objetivos de recuperación (RTO), puntos objetivos de recuperación de información (RPO), definir estrategias de continuidad y fortalecer la capacidad institucional de respuesta ante eventos que puedan afectar la disponibilidad de los servicios y procesos críticos del Ministerio.</w:t>
      </w:r>
    </w:p>
    <w:p w14:paraId="6E69F6D2" w14:textId="58074F7C" w:rsidR="00FD34BC" w:rsidRPr="004F7A21" w:rsidRDefault="00FD34BC" w:rsidP="00FD34BC">
      <w:pPr>
        <w:rPr>
          <w:rFonts w:eastAsia="Verdana" w:cs="Verdana"/>
          <w:color w:val="FF0000"/>
        </w:rPr>
      </w:pPr>
      <w:r w:rsidRPr="00FD34BC">
        <w:rPr>
          <w:rFonts w:eastAsia="Verdana" w:cs="Verdana"/>
          <w:color w:val="FF0000"/>
        </w:rPr>
        <w:t>Así mismo, este ejercicio fortalece el rol del Ministerio como cabeza de sector, permitiéndole avanzar en la consolidación de lineamientos, capacidades y buenas prácticas en materia de continuidad del negocio y resiliencia institucional, sirviendo como referente y guía para las entidades vinculadas y adscritas en la implementación y fortalecimiento de sus propios esquemas de continuidad, recuperación y gestión de riesgos asociados a la seguridad de la información y continuidad operativa.</w:t>
      </w:r>
    </w:p>
    <w:p w14:paraId="676FA67C" w14:textId="753493D1" w:rsidR="2B5DE873" w:rsidRDefault="5953236E" w:rsidP="004F7A21">
      <w:pPr>
        <w:rPr>
          <w:rFonts w:eastAsia="Verdana" w:cs="Verdana"/>
          <w:color w:val="FF0000"/>
        </w:rPr>
      </w:pPr>
      <w:r w:rsidRPr="63FC5CC9">
        <w:rPr>
          <w:rFonts w:eastAsia="Verdana" w:cs="Verdana"/>
          <w:color w:val="FF0000"/>
        </w:rPr>
        <w:t>En conclusión, las actividades desarrolladas durante las vigencias 2025 y 2026 reflejan el compromiso institucional con el fortalecimiento continuo de la seguridad de la información, la consolidación de capacidades técnicas y administrativas, el mejoramiento de la gobernanza de seguridad digital y la promoción de una cultura organizacional orientada a la protección de la información institucional. Lo anterior permite avanzar de manera progresiva en la madurez del Modelo de Seguridad y Privacidad de la Información, fortalecer la capacidad de respuesta ante riesgos y amenazas cibernéticas, y contribuir a la protección, disponibilidad, integridad y confidencialidad de la información estratégica del Ministerio.</w:t>
      </w:r>
    </w:p>
    <w:p w14:paraId="2DCFD01A" w14:textId="49ACAAE9" w:rsidR="00C712D1" w:rsidRPr="004A2840" w:rsidRDefault="00C712D1" w:rsidP="0060060B">
      <w:pPr>
        <w:pStyle w:val="Heading2"/>
      </w:pPr>
      <w:commentRangeStart w:id="11"/>
      <w:r>
        <w:t>Avances Gobierno Digital</w:t>
      </w:r>
      <w:commentRangeEnd w:id="11"/>
      <w:r w:rsidRPr="004A2840">
        <w:rPr>
          <w:rStyle w:val="CommentReference"/>
          <w:sz w:val="28"/>
          <w:szCs w:val="28"/>
        </w:rPr>
        <w:commentReference w:id="11"/>
      </w:r>
    </w:p>
    <w:p w14:paraId="1F46A315" w14:textId="3ADEB6A3" w:rsidR="00DC252B" w:rsidRPr="004A2840" w:rsidRDefault="00DC252B" w:rsidP="64043FCE">
      <w:pPr>
        <w:rPr>
          <w:highlight w:val="yellow"/>
        </w:rPr>
      </w:pPr>
      <w:r w:rsidRPr="642B55D5">
        <w:rPr>
          <w:highlight w:val="yellow"/>
        </w:rPr>
        <w:t>Explique el nivel de implementación alcanzado al cierre del cuatrienio.</w:t>
      </w:r>
    </w:p>
    <w:p w14:paraId="43FF774F" w14:textId="12D1B2E8" w:rsidR="1C8FDB8D" w:rsidRDefault="1C8FDB8D" w:rsidP="642B55D5">
      <w:pPr>
        <w:rPr>
          <w:rFonts w:asciiTheme="minorHAnsi" w:eastAsiaTheme="minorEastAsia" w:hAnsiTheme="minorHAnsi"/>
          <w:b/>
          <w:bCs/>
          <w:color w:val="000000" w:themeColor="text1"/>
          <w:sz w:val="24"/>
          <w:szCs w:val="24"/>
        </w:rPr>
      </w:pPr>
      <w:r w:rsidRPr="642B55D5">
        <w:rPr>
          <w:rFonts w:asciiTheme="minorHAnsi" w:eastAsiaTheme="minorEastAsia" w:hAnsiTheme="minorHAnsi"/>
          <w:b/>
          <w:bCs/>
          <w:color w:val="000000" w:themeColor="text1"/>
          <w:sz w:val="24"/>
          <w:szCs w:val="24"/>
        </w:rPr>
        <w:t>8.1.1 Período 2022 - mayo de 2023</w:t>
      </w:r>
    </w:p>
    <w:p w14:paraId="56FA163A" w14:textId="729603BD" w:rsidR="64FA287E" w:rsidRDefault="64FA287E"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Fortalecimiento del Gobierno de TI y la gestión estratégica de datos</w:t>
      </w:r>
    </w:p>
    <w:p w14:paraId="391A1E4B" w14:textId="5180F44F" w:rsidR="1C8FDB8D" w:rsidRDefault="1C8FDB8D" w:rsidP="642B55D5">
      <w:pPr>
        <w:rPr>
          <w:rFonts w:eastAsia="Verdana" w:cs="Verdana"/>
          <w:b/>
          <w:bCs/>
          <w:color w:val="000000" w:themeColor="text1"/>
        </w:rPr>
      </w:pPr>
      <w:r w:rsidRPr="642B55D5">
        <w:rPr>
          <w:rFonts w:eastAsia="Verdana" w:cs="Verdana"/>
          <w:color w:val="000000" w:themeColor="text1"/>
        </w:rPr>
        <w:t>Durante 2022, a través de una consultoría, se robusteció el Modelo de Gobierno de TI del Ministerio de Minas y Energía, permitiendo aplicar los lineamientos referentes a recursos tecnológicos dictados por MINTIC. Adicionalmente, se siguió implementando la Resolución Interna 40199 de 2021, por la cual se adoptan los lineamientos de modelo de gobierno de tecnologías de la información y del modelo de gobierno de datos del sector minero-energético, entendidos como dominios de la arquitectura empresarial sectorial, a través de los cuales se brindan directrices para la implementación de esquemas de gobernabilidad de tecnologías de la información y de datos y se adoptan las políticas que permitirán alinear los procesos y planes de las instituciones con los del sector.</w:t>
      </w:r>
    </w:p>
    <w:p w14:paraId="3639D948" w14:textId="59C28068" w:rsidR="1C8FDB8D" w:rsidRDefault="1C8FDB8D" w:rsidP="642B55D5">
      <w:pPr>
        <w:rPr>
          <w:rFonts w:eastAsia="Verdana" w:cs="Verdana"/>
          <w:color w:val="000000" w:themeColor="text1"/>
        </w:rPr>
      </w:pPr>
      <w:r w:rsidRPr="642B55D5">
        <w:rPr>
          <w:rFonts w:eastAsia="Verdana" w:cs="Verdana"/>
          <w:color w:val="000000" w:themeColor="text1"/>
        </w:rPr>
        <w:t>Adicionalmente, la explotación de datos sectoriales fue potenciada por la adopción de capacidades de business intelligence (BI) que permiten a los usuarios visualizar información relevante de este segmento. Se desarrollaron tableros para seguimiento interno de actividades como el de uso y apropiación de aplicaciones colaborativas y el de reporte de actividades presenciales y alternancia. También se construyeron los tableros indicados a continuación:</w:t>
      </w:r>
    </w:p>
    <w:p w14:paraId="2DC4C8F5" w14:textId="6F0BD41D"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Seguimiento de los compromisos por Colombia.</w:t>
      </w:r>
    </w:p>
    <w:p w14:paraId="4D35AF12" w14:textId="61E40B9B"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Seguimiento a proyectos de la Dirección de Energía Eléctrica.</w:t>
      </w:r>
    </w:p>
    <w:p w14:paraId="1FF6384F" w14:textId="2EDFA7E6"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Titulación minera.</w:t>
      </w:r>
    </w:p>
    <w:p w14:paraId="2F347301" w14:textId="252B9024"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Recursos de inversión y obras de regalías.</w:t>
      </w:r>
    </w:p>
    <w:p w14:paraId="469A44C1" w14:textId="18255872"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Nuevos usuarios energizados por departamento.</w:t>
      </w:r>
    </w:p>
    <w:p w14:paraId="6EEB782C" w14:textId="4C243D36" w:rsidR="1C8FDB8D" w:rsidRDefault="1C8FDB8D" w:rsidP="642B55D5">
      <w:pPr>
        <w:pStyle w:val="Heading3"/>
        <w:ind w:hanging="363"/>
        <w:rPr>
          <w:rFonts w:eastAsia="Verdana" w:cs="Verdana"/>
          <w:color w:val="000000" w:themeColor="text1"/>
          <w:sz w:val="22"/>
          <w:szCs w:val="22"/>
        </w:rPr>
      </w:pPr>
      <w:r w:rsidRPr="642B55D5">
        <w:rPr>
          <w:rFonts w:eastAsia="Verdana" w:cs="Verdana"/>
          <w:color w:val="000000" w:themeColor="text1"/>
          <w:sz w:val="22"/>
          <w:szCs w:val="22"/>
        </w:rPr>
        <w:t>Ruta de transformación digital.</w:t>
      </w:r>
    </w:p>
    <w:p w14:paraId="6AC06264" w14:textId="4E62022A" w:rsidR="642B55D5" w:rsidRDefault="642B55D5" w:rsidP="642B55D5">
      <w:pPr>
        <w:rPr>
          <w:rFonts w:eastAsia="Verdana" w:cs="Verdana"/>
        </w:rPr>
      </w:pPr>
    </w:p>
    <w:p w14:paraId="1F2B2096" w14:textId="7DF2E1F8" w:rsidR="1C8FDB8D" w:rsidRDefault="1C8FDB8D" w:rsidP="642B55D5">
      <w:pPr>
        <w:rPr>
          <w:rFonts w:eastAsia="Verdana" w:cs="Verdana"/>
        </w:rPr>
      </w:pPr>
      <w:r w:rsidRPr="642B55D5">
        <w:rPr>
          <w:rFonts w:eastAsia="Verdana" w:cs="Verdana"/>
        </w:rPr>
        <w:t>Algunos de estos tableros son accesibles a la ciudadanía a través del portal web de la entidad. Uno de los más relevantes que se gestionó durante la vigencia 2022-2023 es el de informe territorial, donde se recopila información a nivel departamental y municipal sobre los aspectos indicados a continuación:</w:t>
      </w:r>
    </w:p>
    <w:p w14:paraId="23ED82A9" w14:textId="7FF98C08" w:rsidR="1C8FDB8D" w:rsidRDefault="1C8FDB8D" w:rsidP="642B55D5">
      <w:pPr>
        <w:pStyle w:val="ListParagraph"/>
        <w:rPr>
          <w:rFonts w:eastAsia="Verdana" w:cs="Verdana"/>
        </w:rPr>
      </w:pPr>
      <w:r w:rsidRPr="642B55D5">
        <w:rPr>
          <w:rFonts w:eastAsia="Verdana" w:cs="Verdana"/>
        </w:rPr>
        <w:t>Índice de cobertura de energía eléctrica.</w:t>
      </w:r>
    </w:p>
    <w:p w14:paraId="439985E0" w14:textId="5DE6552B" w:rsidR="1C8FDB8D" w:rsidRDefault="1C8FDB8D" w:rsidP="642B55D5">
      <w:pPr>
        <w:pStyle w:val="ListParagraph"/>
        <w:rPr>
          <w:rFonts w:eastAsia="Verdana" w:cs="Verdana"/>
        </w:rPr>
      </w:pPr>
      <w:r w:rsidRPr="642B55D5">
        <w:rPr>
          <w:rFonts w:eastAsia="Verdana" w:cs="Verdana"/>
        </w:rPr>
        <w:t xml:space="preserve">Proyectos de energía renovables. </w:t>
      </w:r>
    </w:p>
    <w:p w14:paraId="7A6D9DA4" w14:textId="50113EDC" w:rsidR="1C8FDB8D" w:rsidRDefault="1C8FDB8D" w:rsidP="642B55D5">
      <w:pPr>
        <w:pStyle w:val="ListParagraph"/>
        <w:rPr>
          <w:rFonts w:eastAsia="Verdana" w:cs="Verdana"/>
        </w:rPr>
      </w:pPr>
      <w:r w:rsidRPr="642B55D5">
        <w:rPr>
          <w:rFonts w:eastAsia="Verdana" w:cs="Verdana"/>
        </w:rPr>
        <w:t>Recursos de inversión de regalías.</w:t>
      </w:r>
    </w:p>
    <w:p w14:paraId="4EF0E3AC" w14:textId="38F75CC2" w:rsidR="1C8FDB8D" w:rsidRDefault="1C8FDB8D" w:rsidP="642B55D5">
      <w:pPr>
        <w:pStyle w:val="ListParagraph"/>
        <w:rPr>
          <w:rFonts w:eastAsia="Verdana" w:cs="Verdana"/>
        </w:rPr>
      </w:pPr>
      <w:r w:rsidRPr="642B55D5">
        <w:rPr>
          <w:rFonts w:eastAsia="Verdana" w:cs="Verdana"/>
        </w:rPr>
        <w:t>Proyecto de electrificación rural.</w:t>
      </w:r>
    </w:p>
    <w:p w14:paraId="406A0A64" w14:textId="5BDED59C" w:rsidR="1C8FDB8D" w:rsidRDefault="1C8FDB8D" w:rsidP="642B55D5">
      <w:pPr>
        <w:pStyle w:val="ListParagraph"/>
        <w:rPr>
          <w:rFonts w:eastAsia="Verdana" w:cs="Verdana"/>
        </w:rPr>
      </w:pPr>
      <w:r w:rsidRPr="642B55D5">
        <w:rPr>
          <w:rFonts w:eastAsia="Verdana" w:cs="Verdana"/>
        </w:rPr>
        <w:t>Seguimiento compromisos derivados de paros sociales.</w:t>
      </w:r>
    </w:p>
    <w:p w14:paraId="5D19C4E7" w14:textId="34E27C72" w:rsidR="1C8FDB8D" w:rsidRDefault="1C8FDB8D" w:rsidP="642B55D5">
      <w:r w:rsidRPr="642B55D5">
        <w:rPr>
          <w:rFonts w:eastAsia="Verdana" w:cs="Verdana"/>
        </w:rPr>
        <w:t xml:space="preserve">Así, en el marco de la implementación de la política de gobierno digital del Ministerio de Minas y Energía se han enfocado los esfuerzos en el fortalecimiento estratégico de acciones de gobierno de TI, de seguridad y de sistemas de información, </w:t>
      </w:r>
      <w:r>
        <w:t>lo cual ha permitido proveer servicios digitales de confianza y de calidad para los clientes tanto internos como externos.</w:t>
      </w:r>
    </w:p>
    <w:p w14:paraId="4F0732C7" w14:textId="3635D25A" w:rsidR="1C8FDB8D" w:rsidRDefault="1C8FDB8D" w:rsidP="642B55D5">
      <w:r>
        <w:t>Por su parte, el ministerio ha formulado para el periodo 2023-2026 el Plan Estratégico de Tecnologías de la Información (PETI). Este está alineado a las necesidades y tendencias tecnológicas actuales y a las estrategias institucionales que buscan la implementación de proyectos pragmáticos-operativos que fortalezcan la toma de decisiones para la adquisición, desarrollo, soporte, mantenimiento y uso y apropiación de las tecnologías de la información y las comunicaciones. Además, se espera con esto contribuir al cumplimiento efectivo y práctico de los objetivos misionales, mejorando los niveles de confianza, servicios y productos que ofrece la entidad a sus grupos de interés y a los ciudadanos en general.</w:t>
      </w:r>
    </w:p>
    <w:p w14:paraId="20A45984" w14:textId="30644C95" w:rsidR="1C8FDB8D" w:rsidRDefault="1C8FDB8D" w:rsidP="642B55D5">
      <w:r>
        <w:t>A partir de las brechas identificadas en el Plan Estratégico de Tecnologías de la Información 2023-2026, el Ministerio de Minas y Energía estableció las bases para el desarrollo de nuevas aplicaciones que cumplan con la estructura FUEM (fiabilidad, usabilidad, estabilidad, mantenibilidad), además de las características de seguridad, disponibilidad, movilidad e interoperabilidad para el cumplimiento de requerimientos de calidad y la prestación de un buen servicio</w:t>
      </w:r>
    </w:p>
    <w:p w14:paraId="03146B22" w14:textId="72EC9687" w:rsidR="45A85C18" w:rsidRDefault="45A85C18"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Infraestructura y plataforma tecnológica</w:t>
      </w:r>
    </w:p>
    <w:p w14:paraId="7D68AEAA" w14:textId="371A07EA" w:rsidR="45A85C18" w:rsidRDefault="45A85C18" w:rsidP="642B55D5">
      <w:pPr>
        <w:rPr>
          <w:rFonts w:eastAsia="Verdana" w:cs="Verdana"/>
          <w:color w:val="000000" w:themeColor="text1"/>
        </w:rPr>
      </w:pPr>
      <w:r w:rsidRPr="642B55D5">
        <w:rPr>
          <w:rFonts w:eastAsia="Verdana" w:cs="Verdana"/>
          <w:color w:val="000000" w:themeColor="text1"/>
        </w:rPr>
        <w:t xml:space="preserve">El Plan Estratégico de Tecnologías de la Información (PETI) para el periodo 2020-2023 contiene catorce iniciativas. Se ha ejecutado el 71 % de los proyectos y un 29 % se encuentra en ejecución. </w:t>
      </w:r>
    </w:p>
    <w:p w14:paraId="7E8BD985" w14:textId="73D67385" w:rsidR="45A85C18" w:rsidRDefault="45A85C18" w:rsidP="642B55D5">
      <w:pPr>
        <w:rPr>
          <w:rFonts w:eastAsia="Verdana" w:cs="Verdana"/>
          <w:color w:val="000000" w:themeColor="text1"/>
        </w:rPr>
      </w:pPr>
      <w:r w:rsidRPr="642B55D5">
        <w:rPr>
          <w:rFonts w:eastAsia="Verdana" w:cs="Verdana"/>
          <w:color w:val="000000" w:themeColor="text1"/>
        </w:rPr>
        <w:t xml:space="preserve">Teniendo en cuenta los cambios coyunturales, las nuevas tendencias tecnológicas y el gran avance en la ejecución de las iniciativas del PETI; y en la búsqueda de romper paradigmas para lograr la transformación real de la gestión de TI, se estableció la necesidad de elaborar un PETI que permita desarrollar todas las iniciativas requeridas por el Ministerio de Minas y Energía para las vigencias de 2024 a 2027. </w:t>
      </w:r>
    </w:p>
    <w:p w14:paraId="204085B6" w14:textId="2FAC2E38" w:rsidR="45A85C18" w:rsidRDefault="45A85C18" w:rsidP="642B55D5">
      <w:pPr>
        <w:rPr>
          <w:rFonts w:eastAsia="Verdana" w:cs="Verdana"/>
          <w:color w:val="000000" w:themeColor="text1"/>
        </w:rPr>
      </w:pPr>
      <w:r w:rsidRPr="642B55D5">
        <w:rPr>
          <w:rFonts w:eastAsia="Verdana" w:cs="Verdana"/>
          <w:color w:val="000000" w:themeColor="text1"/>
        </w:rPr>
        <w:t xml:space="preserve">Así, en la vigencia 2022 se formuló el PETI 2024-2027, que partió del análisis de la situación actual de la entidad para identificar las oportunidades de mejora de los servicios de TI utilizados para la operación. Estas oportunidades serán utilizadas en la tercera fase para la construcción de la hoja de ruta y la definición de los proyectos de TI que se formularán en el PETI. </w:t>
      </w:r>
    </w:p>
    <w:p w14:paraId="73E5F276" w14:textId="79D10EC5" w:rsidR="45A85C18" w:rsidRDefault="45A85C18" w:rsidP="642B55D5">
      <w:pPr>
        <w:rPr>
          <w:rFonts w:eastAsia="Verdana" w:cs="Verdana"/>
          <w:color w:val="000000" w:themeColor="text1"/>
        </w:rPr>
      </w:pPr>
      <w:r w:rsidRPr="642B55D5">
        <w:rPr>
          <w:rFonts w:eastAsia="Verdana" w:cs="Verdana"/>
          <w:color w:val="000000" w:themeColor="text1"/>
        </w:rPr>
        <w:t xml:space="preserve">En sesiones de levantamiento de información de TI con las áreas estratégicas del ministerio, se identificaron 148 necesidades, con el mayor número de oportunidades de mejora concentradas en el fortalecimiento de las siguientes herramientas, en orden de priorización: sistemas misionales, sistemas de información, gestión de conocimiento, analítica de datos, automatización de procesos, seguridad de la información, infraestructura de TI, interoperabilidad, procedimientos de TI, mesa de ayuda y optimización de los equipos de cómputo. </w:t>
      </w:r>
    </w:p>
    <w:p w14:paraId="4B955D6A" w14:textId="2055AF3A" w:rsidR="45A85C18" w:rsidRDefault="30FBD107" w:rsidP="642B55D5">
      <w:pPr>
        <w:rPr>
          <w:rFonts w:eastAsia="Verdana" w:cs="Verdana"/>
          <w:color w:val="000000" w:themeColor="text1"/>
        </w:rPr>
      </w:pPr>
      <w:commentRangeStart w:id="13"/>
      <w:commentRangeStart w:id="14"/>
      <w:commentRangeStart w:id="15"/>
      <w:commentRangeStart w:id="16"/>
      <w:r w:rsidRPr="63FC5CC9">
        <w:rPr>
          <w:rFonts w:eastAsia="Verdana" w:cs="Verdana"/>
          <w:color w:val="000000" w:themeColor="text1"/>
        </w:rPr>
        <w:t>Los sistemas de información sobre los cuales la gestión TICS presta su apoyo transversal al Minenergía se muestran en la tabla 1.</w:t>
      </w:r>
      <w:r w:rsidR="365530DB" w:rsidRPr="63FC5CC9">
        <w:rPr>
          <w:rFonts w:eastAsia="Verdana" w:cs="Verdana"/>
          <w:color w:val="000000" w:themeColor="text1"/>
        </w:rPr>
        <w:t xml:space="preserve"> </w:t>
      </w:r>
      <w:hyperlink r:id="rId18">
        <w:r w:rsidR="365530DB" w:rsidRPr="63FC5CC9">
          <w:rPr>
            <w:rStyle w:val="Hyperlink"/>
            <w:rFonts w:eastAsia="Verdana" w:cs="Verdana"/>
            <w:highlight w:val="cyan"/>
          </w:rPr>
          <w:t>(TABLA EXCEL)</w:t>
        </w:r>
      </w:hyperlink>
      <w:commentRangeEnd w:id="13"/>
      <w:r w:rsidR="45A85C18">
        <w:rPr>
          <w:rStyle w:val="CommentReference"/>
          <w:rFonts w:eastAsia="Verdana" w:cs="Verdana"/>
          <w:color w:val="000000" w:themeColor="text1"/>
          <w:sz w:val="22"/>
          <w:szCs w:val="22"/>
        </w:rPr>
        <w:commentReference w:id="13"/>
      </w:r>
      <w:commentRangeEnd w:id="14"/>
      <w:r>
        <w:rPr>
          <w:rStyle w:val="CommentReference"/>
          <w:rFonts w:eastAsia="Verdana" w:cs="Verdana"/>
          <w:color w:val="000000" w:themeColor="text1"/>
          <w:sz w:val="22"/>
          <w:szCs w:val="22"/>
        </w:rPr>
        <w:commentReference w:id="14"/>
      </w:r>
      <w:commentRangeEnd w:id="15"/>
      <w:r>
        <w:rPr>
          <w:rStyle w:val="CommentReference"/>
          <w:rFonts w:eastAsia="Verdana" w:cs="Verdana"/>
          <w:color w:val="000000" w:themeColor="text1"/>
          <w:sz w:val="22"/>
          <w:szCs w:val="22"/>
        </w:rPr>
        <w:commentReference w:id="15"/>
      </w:r>
      <w:commentRangeEnd w:id="16"/>
      <w:r>
        <w:rPr>
          <w:rStyle w:val="CommentReference"/>
          <w:rFonts w:eastAsia="Verdana" w:cs="Verdana"/>
          <w:color w:val="000000" w:themeColor="text1"/>
          <w:sz w:val="22"/>
          <w:szCs w:val="22"/>
        </w:rPr>
        <w:commentReference w:id="16"/>
      </w:r>
    </w:p>
    <w:p w14:paraId="543BBF34" w14:textId="6E0B88D9" w:rsidR="45A85C18" w:rsidRDefault="45A85C18" w:rsidP="642B55D5">
      <w:pPr>
        <w:rPr>
          <w:rFonts w:eastAsia="Verdana" w:cs="Verdana"/>
          <w:color w:val="000000" w:themeColor="text1"/>
        </w:rPr>
      </w:pPr>
      <w:r w:rsidRPr="642B55D5">
        <w:rPr>
          <w:rFonts w:eastAsia="Verdana" w:cs="Verdana"/>
          <w:color w:val="000000" w:themeColor="text1"/>
        </w:rPr>
        <w:t xml:space="preserve">Las capacidades operacionales del Grupo de Infraestructura Tecnológica para atender y apoyar las tareas misionales e institucionales del ministerio se sustentan en 16 servidores físicos y 316 servidores virtuales bajo la plataforma VMWare (SO Windows 2016 Server, Linux CentOS, DB SQL Server, entre otros) sobre nodos de hiperconvergencia. </w:t>
      </w:r>
    </w:p>
    <w:p w14:paraId="118BE094" w14:textId="32F2E00C" w:rsidR="45A85C18" w:rsidRDefault="45A85C18" w:rsidP="642B55D5">
      <w:pPr>
        <w:rPr>
          <w:rFonts w:eastAsia="Verdana" w:cs="Verdana"/>
          <w:color w:val="000000" w:themeColor="text1"/>
        </w:rPr>
      </w:pPr>
      <w:r w:rsidRPr="642B55D5">
        <w:rPr>
          <w:rFonts w:eastAsia="Verdana" w:cs="Verdana"/>
          <w:color w:val="000000" w:themeColor="text1"/>
        </w:rPr>
        <w:t>De igual forma, para implementar el Plan de Recuperación de Desastres (DRP) en el Ministerio de Minas y Energía, el Grupo TICS adelantó la contratación y adquisición de su primera fase a través de una solución de hiperconvergencia, compuesta por 3 nodos y 2 switches fabric, con su correspondiente soporte y garantía, como parte de la estrategia definida para restablecer los servicios de TI en los casos que se requieran.</w:t>
      </w:r>
    </w:p>
    <w:p w14:paraId="4B34AB28" w14:textId="4FD923E9" w:rsidR="45A85C18" w:rsidRDefault="45A85C18" w:rsidP="642B55D5">
      <w:pPr>
        <w:rPr>
          <w:rFonts w:eastAsia="Verdana" w:cs="Verdana"/>
          <w:color w:val="000000" w:themeColor="text1"/>
        </w:rPr>
      </w:pPr>
      <w:r w:rsidRPr="642B55D5">
        <w:rPr>
          <w:rFonts w:eastAsia="Verdana" w:cs="Verdana"/>
          <w:color w:val="000000" w:themeColor="text1"/>
        </w:rPr>
        <w:t xml:space="preserve">En la vigencia 2022 se adelantó la contratación para la adquisición, instalación, configuración e implementación de la segunda fase del DRP y centro de datos alterno (DRP/ DCA) para el Minenergía. Así mismo, para 2023 se tiene contemplado adelantar las labores propias de la implementación de la fase tres del plan de recuperación ante desastres, la cual conlleva aumento de capacidades en nodos de hiperconvergencia, licenciamiento, switches de hiperconvergencia, entre otros. </w:t>
      </w:r>
    </w:p>
    <w:p w14:paraId="29E9F2A0" w14:textId="42CD3DB0" w:rsidR="45A85C18" w:rsidRDefault="45A85C18" w:rsidP="642B55D5">
      <w:pPr>
        <w:rPr>
          <w:rFonts w:eastAsia="Verdana" w:cs="Verdana"/>
          <w:color w:val="000000" w:themeColor="text1"/>
        </w:rPr>
      </w:pPr>
      <w:r w:rsidRPr="642B55D5">
        <w:rPr>
          <w:rFonts w:eastAsia="Verdana" w:cs="Verdana"/>
          <w:color w:val="000000" w:themeColor="text1"/>
        </w:rPr>
        <w:t>Una vez se tuvo que hacer frente a la nueva realidad derivada de la pandemia por COVID-19, el ministerio, a través del Grupo TICS, debió replantear la forma de trabajo de la gran mayoría de sus funcionarios y servidores públicos, de tal forma que se pudiera hacer de forma virtual en casa. Por ello, la entidad desplegó equipos de escritorio para trabajo en casa para los servidores y contratistas, los cuales se han venido reintegrado paulatinamente. En este momento quedan 65 equipos en casa que se encuentran apoyando las tareas de los colaboradores de la institución.</w:t>
      </w:r>
    </w:p>
    <w:p w14:paraId="0921292B" w14:textId="0216B077" w:rsidR="09FBB335" w:rsidRDefault="09FBB335" w:rsidP="642B55D5">
      <w:pPr>
        <w:rPr>
          <w:rFonts w:asciiTheme="minorHAnsi" w:eastAsiaTheme="minorEastAsia" w:hAnsiTheme="minorHAnsi"/>
          <w:b/>
          <w:bCs/>
          <w:color w:val="000000" w:themeColor="text1"/>
          <w:sz w:val="24"/>
          <w:szCs w:val="24"/>
        </w:rPr>
      </w:pPr>
      <w:r w:rsidRPr="642B55D5">
        <w:rPr>
          <w:rFonts w:asciiTheme="minorHAnsi" w:eastAsiaTheme="minorEastAsia" w:hAnsiTheme="minorHAnsi"/>
          <w:b/>
          <w:bCs/>
          <w:color w:val="000000" w:themeColor="text1"/>
          <w:sz w:val="24"/>
          <w:szCs w:val="24"/>
        </w:rPr>
        <w:t>8.3.2 Período 2023 - 2024</w:t>
      </w:r>
    </w:p>
    <w:p w14:paraId="25811F59" w14:textId="13797051" w:rsidR="5DB5A670" w:rsidRDefault="5DB5A670"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Fortalecimiento del Gobierno Digital y la gestión de información sectorial</w:t>
      </w:r>
    </w:p>
    <w:p w14:paraId="2C401FBD" w14:textId="15975E8E" w:rsidR="09FBB335" w:rsidRDefault="09FBB335" w:rsidP="642B55D5">
      <w:pPr>
        <w:rPr>
          <w:rFonts w:eastAsia="Verdana" w:cs="Verdana"/>
          <w:color w:val="000000" w:themeColor="text1"/>
        </w:rPr>
      </w:pPr>
      <w:r w:rsidRPr="642B55D5">
        <w:rPr>
          <w:rFonts w:eastAsia="Verdana" w:cs="Verdana"/>
          <w:color w:val="000000" w:themeColor="text1"/>
        </w:rPr>
        <w:t xml:space="preserve">En el marco de la implementación de una política de gobierno digital que facilitará la transformación digital del Ministerio de Minas y Energía, el Grupo TIC ha enfocado sus esfuerzos en el fortalecimiento estratégico de acciones de gobierno de TI, de seguridad y de sistemas de información, los cuales han permitido proveer servicios digitales de confianza y de calidad tanto para los clientes internos como externos. </w:t>
      </w:r>
    </w:p>
    <w:p w14:paraId="1BCA8FBB" w14:textId="3AACE781" w:rsidR="09FBB335" w:rsidRDefault="09FBB335" w:rsidP="642B55D5">
      <w:pPr>
        <w:rPr>
          <w:rFonts w:eastAsia="Verdana" w:cs="Verdana"/>
          <w:color w:val="000000" w:themeColor="text1"/>
        </w:rPr>
      </w:pPr>
      <w:r w:rsidRPr="642B55D5">
        <w:rPr>
          <w:rFonts w:eastAsia="Verdana" w:cs="Verdana"/>
          <w:color w:val="000000" w:themeColor="text1"/>
        </w:rPr>
        <w:t xml:space="preserve">A partir de las brechas identificadas en el PETI 2020-2023 y la aprobación del PETI 20242027, se establecieron las acciones necesarias para el desarrollo de nuevas aplicaciones que tuvieran características principales como seguridad, disponibilidad, usabilidad, movilidad e interoperabilidad para que cumplan requerimientos de calidad y brinden un buen servicio a sus ciudadanos. (automatización de procesos-planeación-seguridad-sostenibilidad de la entidad). </w:t>
      </w:r>
    </w:p>
    <w:p w14:paraId="3535705C" w14:textId="75328A1E" w:rsidR="09FBB335" w:rsidRDefault="09FBB335" w:rsidP="642B55D5">
      <w:pPr>
        <w:rPr>
          <w:rFonts w:eastAsia="Verdana" w:cs="Verdana"/>
          <w:color w:val="000000" w:themeColor="text1"/>
        </w:rPr>
      </w:pPr>
      <w:r w:rsidRPr="642B55D5">
        <w:rPr>
          <w:rFonts w:eastAsia="Verdana" w:cs="Verdana"/>
          <w:color w:val="000000" w:themeColor="text1"/>
        </w:rPr>
        <w:t>Por otra parte, la explotación de datos sectoriales (hidrocarburos, gas, energía) se ha visto potenciada por la adopción de capacidades de BI (Business Intelligence), permitiendo a los usuarios del sector y a la ciudadanía en general visualizar información relevante de estos segmentos dando respaldo a decisiones basadas en datos.</w:t>
      </w:r>
    </w:p>
    <w:p w14:paraId="237DFA94" w14:textId="6030108F" w:rsidR="11977EBA" w:rsidRDefault="11977EBA"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Gobernanza del dato y monitoreo</w:t>
      </w:r>
    </w:p>
    <w:p w14:paraId="22A5BB10" w14:textId="59F42BA1" w:rsidR="11977EBA" w:rsidRDefault="11977EBA" w:rsidP="642B55D5">
      <w:pPr>
        <w:rPr>
          <w:rFonts w:eastAsia="Verdana" w:cs="Verdana"/>
          <w:color w:val="000000" w:themeColor="text1"/>
        </w:rPr>
      </w:pPr>
      <w:r w:rsidRPr="642B55D5">
        <w:rPr>
          <w:rFonts w:eastAsia="Verdana" w:cs="Verdana"/>
          <w:color w:val="000000" w:themeColor="text1"/>
        </w:rPr>
        <w:t xml:space="preserve">Para el sector de minas y energía, la adopción de un gobierno del dato robusto y el uso estratégico de las Tecnologías de la Información y las Comunicaciones (TICs) es esencial para fomentar la eficiencia, la innovación y la sostenibilidad. Esta adopción está en consonancia con la política de Gobierno Digital del Ministerio de Tecnologías de la Información y las Comunicaciones (MinTIC), que promueve la transformación digital del país.  </w:t>
      </w:r>
    </w:p>
    <w:p w14:paraId="20FCF47A" w14:textId="4A3E7E43" w:rsidR="11977EBA" w:rsidRDefault="11977EBA" w:rsidP="642B55D5">
      <w:pPr>
        <w:rPr>
          <w:rFonts w:eastAsia="Verdana" w:cs="Verdana"/>
          <w:color w:val="000000" w:themeColor="text1"/>
        </w:rPr>
      </w:pPr>
      <w:r w:rsidRPr="642B55D5">
        <w:rPr>
          <w:rFonts w:eastAsia="Verdana" w:cs="Verdana"/>
          <w:color w:val="000000" w:themeColor="text1"/>
        </w:rPr>
        <w:t xml:space="preserve">Es por esto que, desde la Unidad de Planeación Minero Energética - UPME como CIO del sector minero energético, y Ministerio de Minas y Energía - MME como CTO del sector minero energético, se tiene como objetivo principal la gestión de tecnologías e información, usando los lineamientos del Gobierno de datos regido por MinTIC.  </w:t>
      </w:r>
    </w:p>
    <w:p w14:paraId="73DCD7D8" w14:textId="34178AA8" w:rsidR="11977EBA" w:rsidRDefault="11977EBA" w:rsidP="642B55D5">
      <w:pPr>
        <w:rPr>
          <w:rFonts w:eastAsia="Verdana" w:cs="Verdana"/>
          <w:color w:val="000000" w:themeColor="text1"/>
        </w:rPr>
      </w:pPr>
      <w:r w:rsidRPr="642B55D5">
        <w:rPr>
          <w:rFonts w:eastAsia="Verdana" w:cs="Verdana"/>
          <w:color w:val="000000" w:themeColor="text1"/>
        </w:rPr>
        <w:t xml:space="preserve">El gobierno del dato se centra en la gestión integral de la información, asegurando su calidad, disponibilidad, integridad y seguridad. En el contexto del sector de minas y energía, esto implica la implementación de prácticas y herramientas que permitan a las organizaciones gestionar eficazmente grandes volúmenes de datos, transformándolos en información valiosa para la toma de decisiones estratégicas y operativas.  </w:t>
      </w:r>
    </w:p>
    <w:p w14:paraId="371A8893" w14:textId="6FB9F0A9" w:rsidR="11977EBA" w:rsidRDefault="11977EBA" w:rsidP="642B55D5">
      <w:pPr>
        <w:rPr>
          <w:rFonts w:eastAsia="Verdana" w:cs="Verdana"/>
          <w:color w:val="000000" w:themeColor="text1"/>
        </w:rPr>
      </w:pPr>
      <w:r w:rsidRPr="642B55D5">
        <w:rPr>
          <w:rFonts w:eastAsia="Verdana" w:cs="Verdana"/>
          <w:color w:val="000000" w:themeColor="text1"/>
        </w:rPr>
        <w:t xml:space="preserve">Asimismo, el uso de TICs en este sector facilita la adopción de tecnologías emergentes como la inteligencia artificial, el Internet de las Cosas (IoT) y el análisis avanzado de datos. Estas tecnologías no solo mejoran la eficiencia y reducen costos, sino que también potencian la capacidad del sector para responder a desafíos medioambientales y de seguridad, promoviendo prácticas más sostenibles y responsables.  </w:t>
      </w:r>
    </w:p>
    <w:p w14:paraId="6409CBE1" w14:textId="263B6F4B" w:rsidR="11977EBA" w:rsidRDefault="11977EBA" w:rsidP="642B55D5">
      <w:pPr>
        <w:rPr>
          <w:rFonts w:eastAsia="Verdana" w:cs="Verdana"/>
          <w:color w:val="000000" w:themeColor="text1"/>
        </w:rPr>
      </w:pPr>
      <w:r w:rsidRPr="642B55D5">
        <w:rPr>
          <w:rFonts w:eastAsia="Verdana" w:cs="Verdana"/>
          <w:color w:val="000000" w:themeColor="text1"/>
        </w:rPr>
        <w:t xml:space="preserve">La alineación con la política de Gobierno Digital del MinTIC asegura que estas iniciativas de transformación digital se lleven a cabo de manera coherente y coordinada, siguiendo estándares de arquitectura, seguridad y privacidad de la información, interoperabilidad y servicios a ciudadanos digitales, y de cultura y apropiación.  Esta política fomenta la transparencia, la participación ciudadana y la prestación de servicios más eficientes y accesibles, contribuyendo así al desarrollo sostenible y competitivo del sector de minas y energía en Colombia. </w:t>
      </w:r>
    </w:p>
    <w:p w14:paraId="3697C832" w14:textId="7DA5B1DE" w:rsidR="11977EBA" w:rsidRDefault="11977EBA" w:rsidP="642B55D5">
      <w:pPr>
        <w:rPr>
          <w:rFonts w:eastAsia="Verdana" w:cs="Verdana"/>
          <w:color w:val="000000" w:themeColor="text1"/>
        </w:rPr>
      </w:pPr>
      <w:r w:rsidRPr="642B55D5">
        <w:rPr>
          <w:rFonts w:eastAsia="Verdana" w:cs="Verdana"/>
          <w:color w:val="000000" w:themeColor="text1"/>
        </w:rPr>
        <w:t xml:space="preserve">En conjunto, el gobierno del dato y las TICs, alineados con la política de Gobierno Digital del MinTIC, son pilares fundamentales para la modernización y el fortalecimiento del sector de minas y energía en Colombia, permitiendo una gestión más inteligente, eficiente y transparente de los recursos energéticos del país.  </w:t>
      </w:r>
    </w:p>
    <w:p w14:paraId="0BCDB082" w14:textId="795A7578" w:rsidR="11977EBA" w:rsidRDefault="11977EBA" w:rsidP="642B55D5">
      <w:pPr>
        <w:rPr>
          <w:rFonts w:eastAsia="Verdana" w:cs="Verdana"/>
          <w:color w:val="000000" w:themeColor="text1"/>
        </w:rPr>
      </w:pPr>
      <w:r w:rsidRPr="642B55D5">
        <w:rPr>
          <w:rFonts w:eastAsia="Verdana" w:cs="Verdana"/>
          <w:color w:val="000000" w:themeColor="text1"/>
        </w:rPr>
        <w:t xml:space="preserve">En cuanto avances y logros, es de resaltar que se realizó el evento Open Gov Week 2024, el cual fue un espacio de discusión sectorial en torno a los principios de transparencia, rendición de cuentas, participación ciudadana e innovación del gobierno abierto.  </w:t>
      </w:r>
    </w:p>
    <w:p w14:paraId="49A8AD54" w14:textId="53B63C06" w:rsidR="11977EBA" w:rsidRDefault="11977EBA" w:rsidP="642B55D5">
      <w:pPr>
        <w:rPr>
          <w:rFonts w:eastAsia="Verdana" w:cs="Verdana"/>
          <w:color w:val="000000" w:themeColor="text1"/>
        </w:rPr>
      </w:pPr>
      <w:r w:rsidRPr="642B55D5">
        <w:rPr>
          <w:rFonts w:eastAsia="Verdana" w:cs="Verdana"/>
          <w:color w:val="000000" w:themeColor="text1"/>
        </w:rPr>
        <w:t xml:space="preserve">Gracias a esto, se avanzó en la formulación de la estrategia de uso y apropiación, con la que se pretende generar las condiciones y prácticas necesarias para facilitar el proceso de adaptación de todas las partes involucradas en las transiciones que supone la incorporación de los servicios y soluciones basados en la analítica de datos, en la cultura organizacional de la entidad y del sector.  </w:t>
      </w:r>
    </w:p>
    <w:p w14:paraId="3B279CC9" w14:textId="55E9645C" w:rsidR="11977EBA" w:rsidRDefault="11977EBA" w:rsidP="642B55D5">
      <w:pPr>
        <w:rPr>
          <w:rFonts w:eastAsia="Verdana" w:cs="Verdana"/>
          <w:color w:val="000000" w:themeColor="text1"/>
        </w:rPr>
      </w:pPr>
      <w:r w:rsidRPr="642B55D5">
        <w:rPr>
          <w:rFonts w:eastAsia="Verdana" w:cs="Verdana"/>
          <w:color w:val="000000" w:themeColor="text1"/>
        </w:rPr>
        <w:t xml:space="preserve">Además, desde el Ministerio se participó en calidad de Administrador de Datos Sectoriales y como cabeza de sector, en las mesas convocadas por el Comité Nacional de Datos para la implementación del Plan Nacional de Infraestructura de DATOS (PNID); las cuales son lideradas por Presidencia de la República, MINTIC y  DNP, para la implementación del Plan Nacional de Infraestructura de DATOS (PNID) y su modelo de gobernanza, el cual tienen como propósito la definición de la infraestructura de datos del Estado y las acciones necesarias para su gestión, implementación y sostenibilidad plasmadas en la hoja de ruta que lo acompañaba.  </w:t>
      </w:r>
    </w:p>
    <w:p w14:paraId="11B5C47F" w14:textId="57BBE7FC" w:rsidR="11977EBA" w:rsidRDefault="11977EBA" w:rsidP="642B55D5">
      <w:pPr>
        <w:rPr>
          <w:rFonts w:eastAsia="Verdana" w:cs="Verdana"/>
          <w:color w:val="000000" w:themeColor="text1"/>
        </w:rPr>
      </w:pPr>
      <w:r w:rsidRPr="642B55D5">
        <w:rPr>
          <w:rFonts w:eastAsia="Verdana" w:cs="Verdana"/>
          <w:color w:val="000000" w:themeColor="text1"/>
        </w:rPr>
        <w:t>Se resalta a nivel sectorial, la creación de las mesas de sistemas de información geográfica: mesa de minería, mesa de hidrocarburos, mesa de energía eléctrica y mesa socioambiental con el fin de recolectar información pertinente de cada uno de estos sectores que alimentan el sistema de información desde su componente técnico. También, se realizó el Inventario de sistemas de información geográfica sectorial (MME, UPME, ANM, ANH, SGC, CREG, IPSE, FENOGE).</w:t>
      </w:r>
    </w:p>
    <w:p w14:paraId="1C489B12" w14:textId="283A15ED" w:rsidR="11977EBA" w:rsidRDefault="11977EBA" w:rsidP="642B55D5">
      <w:pPr>
        <w:rPr>
          <w:rFonts w:eastAsia="Verdana" w:cs="Verdana"/>
          <w:color w:val="000000" w:themeColor="text1"/>
        </w:rPr>
      </w:pPr>
      <w:r w:rsidRPr="642B55D5">
        <w:rPr>
          <w:rFonts w:eastAsia="Verdana" w:cs="Verdana"/>
          <w:color w:val="000000" w:themeColor="text1"/>
        </w:rPr>
        <w:t>Todo esto ha permitido avanzar en la construcción del Geoportal Sectorial (estructura, diseño y consumo de servicios de información geográfica sectorial). El Geoportal sectorial integra información geográfica a partir de servicios web geográficos bajo estándares OGC (Open Geospatial Consortium), el cual integra aplicaciones y/o sistemas de información geográfica dispuestas por las entidades del sector y contempla un módulo de datos abiertos geográficos para acceso, consulta y descarga en diferentes formatos de información georreferenciada estratégica del sector.</w:t>
      </w:r>
    </w:p>
    <w:p w14:paraId="564A1686" w14:textId="7710F335" w:rsidR="11977EBA" w:rsidRDefault="11977EBA" w:rsidP="642B55D5">
      <w:pPr>
        <w:rPr>
          <w:rFonts w:eastAsia="Verdana" w:cs="Verdana"/>
          <w:color w:val="000000" w:themeColor="text1"/>
        </w:rPr>
      </w:pPr>
      <w:r w:rsidRPr="642B55D5">
        <w:rPr>
          <w:rFonts w:eastAsia="Verdana" w:cs="Verdana"/>
          <w:color w:val="000000" w:themeColor="text1"/>
        </w:rPr>
        <w:t>A este esfuerzo se suma el desarrollo del Geovisor de proyectos de generación y transmisión del sector que contempla los proyectos de generación por diferentes fuentes o tecnologías, actualmente se encuentran en estado de operación y pruebas. Los datos visualizados en el geovisor son obtenidos de las bases de datos de XM, UPME y proyectos identificados en la Estrategia 6GW.</w:t>
      </w:r>
    </w:p>
    <w:p w14:paraId="5B9D82F5" w14:textId="4D250411" w:rsidR="11977EBA" w:rsidRDefault="11977EBA" w:rsidP="642B55D5">
      <w:pPr>
        <w:rPr>
          <w:rFonts w:eastAsia="Verdana" w:cs="Verdana"/>
          <w:color w:val="000000" w:themeColor="text1"/>
        </w:rPr>
      </w:pPr>
      <w:r w:rsidRPr="642B55D5">
        <w:rPr>
          <w:rFonts w:eastAsia="Verdana" w:cs="Verdana"/>
          <w:color w:val="000000" w:themeColor="text1"/>
        </w:rPr>
        <w:t>En esta misma línea, se avanzó en el desarrollo del Geiovisor Guajira, que permite el cumplimiento de uno de los compromisos en la Mesa Tripartita de La Guajira.  La visualización de la información consolidada es sectorial en donde y muestra datos con respecto a los proyectos de generación, líneas de transmisión, títulos mineros y subestaciones, pozos de agua, entre otros, permitiendo al ciudadano en territorio consultar, agregar información geográfica de interés y descargar un reporte de la información que se muestra. Se contempla integrar otra información geográfica estratégica para el territorio desde diferentes fuentes del sector y de otros Ministerios.</w:t>
      </w:r>
    </w:p>
    <w:p w14:paraId="0742F953" w14:textId="07F464BC" w:rsidR="11977EBA" w:rsidRDefault="11977EBA" w:rsidP="642B55D5">
      <w:pPr>
        <w:rPr>
          <w:rFonts w:eastAsia="Verdana" w:cs="Verdana"/>
          <w:color w:val="000000" w:themeColor="text1"/>
        </w:rPr>
      </w:pPr>
      <w:r w:rsidRPr="642B55D5">
        <w:rPr>
          <w:rFonts w:eastAsia="Verdana" w:cs="Verdana"/>
          <w:color w:val="000000" w:themeColor="text1"/>
        </w:rPr>
        <w:t xml:space="preserve">En términos generales, se avanzó en la estructuración del módulo de datos abiertos </w:t>
      </w:r>
      <w:r w:rsidRPr="372349A8">
        <w:rPr>
          <w:rFonts w:eastAsia="Verdana" w:cs="Verdana"/>
          <w:color w:val="000000" w:themeColor="text1"/>
        </w:rPr>
        <w:t>geográficos</w:t>
      </w:r>
      <w:r w:rsidRPr="642B55D5">
        <w:rPr>
          <w:rFonts w:eastAsia="Verdana" w:cs="Verdana"/>
          <w:color w:val="000000" w:themeColor="text1"/>
        </w:rPr>
        <w:t xml:space="preserve"> del Geoportal Sectorial 2024 para el sector minero energético. Este módulo permite a cualquier ciudadano, acceder, consultar y descargar en diversos formatos la información georreferenciada de las entidades del sector minero energético que son de acceso público.</w:t>
      </w:r>
    </w:p>
    <w:p w14:paraId="0DF17BED" w14:textId="60DDEDD0" w:rsidR="11977EBA" w:rsidRDefault="11977EBA" w:rsidP="642B55D5">
      <w:pPr>
        <w:rPr>
          <w:rFonts w:eastAsia="Verdana" w:cs="Verdana"/>
          <w:color w:val="000000" w:themeColor="text1"/>
        </w:rPr>
      </w:pPr>
      <w:r w:rsidRPr="642B55D5">
        <w:rPr>
          <w:rFonts w:eastAsia="Verdana" w:cs="Verdana"/>
          <w:color w:val="000000" w:themeColor="text1"/>
        </w:rPr>
        <w:t>Desde la UPME, también se construyó el visor geográfico de Proyectos de hidrógeno para Colombia en conjunto con el Ministerio de Minas y Energía. Este visor geográfico estructurado en diseño de tablero de control o dashboard permite la visualización e interacción de los datos de proyectos de hidrógeno en Colombia permitiendo filtros por Departamento, tipo de tecnología y estado del proyecto, no obstante, permite la descarga de información en formato .csv</w:t>
      </w:r>
    </w:p>
    <w:p w14:paraId="1F1437E0" w14:textId="58936DF4" w:rsidR="11977EBA" w:rsidRDefault="11977EBA" w:rsidP="642B55D5">
      <w:pPr>
        <w:rPr>
          <w:rFonts w:eastAsia="Verdana" w:cs="Verdana"/>
          <w:color w:val="000000" w:themeColor="text1"/>
        </w:rPr>
      </w:pPr>
      <w:r w:rsidRPr="642B55D5">
        <w:rPr>
          <w:rFonts w:eastAsia="Verdana" w:cs="Verdana"/>
          <w:color w:val="000000" w:themeColor="text1"/>
        </w:rPr>
        <w:t xml:space="preserve">En el marco del componente de analítica e inteorperabilidad, se inició el desarrollo e implementación de un Centro de Monitoreo Estratégico Sectorial, este Centro es un sistema de información que permite realizar el seguimiento, monitoreo y modelación de datos para la toma de decisiones por parte de altos directivos del sector.  Con este sistema se pretende contar con el seguimiento de la información del sector, para de manera anticipada, prever alertas, emergencias y contingencias de posibles eventos que se presenten, como fenómenos de niño y niña, vulnerabilidad de infraestructura minero-energética, entre otros.  </w:t>
      </w:r>
    </w:p>
    <w:p w14:paraId="34CCC143" w14:textId="55ED4CBA" w:rsidR="11977EBA" w:rsidRDefault="11977EBA" w:rsidP="642B55D5">
      <w:pPr>
        <w:rPr>
          <w:rFonts w:eastAsia="Verdana" w:cs="Verdana"/>
          <w:color w:val="000000" w:themeColor="text1"/>
        </w:rPr>
      </w:pPr>
      <w:r w:rsidRPr="642B55D5">
        <w:rPr>
          <w:rFonts w:eastAsia="Verdana" w:cs="Verdana"/>
          <w:color w:val="000000" w:themeColor="text1"/>
        </w:rPr>
        <w:t>La primera versión del Centro de Monitoreo Sectorial V1.0 surge como una de las propuestas del Fenómeno del Niño, la cual incluye información de los embalses, información energética de oferta y demanda energética e información climática.</w:t>
      </w:r>
    </w:p>
    <w:p w14:paraId="02BDF01E" w14:textId="16CE617D" w:rsidR="11977EBA" w:rsidRDefault="11977EBA" w:rsidP="642B55D5">
      <w:pPr>
        <w:rPr>
          <w:rFonts w:eastAsia="Verdana" w:cs="Verdana"/>
          <w:color w:val="000000" w:themeColor="text1"/>
        </w:rPr>
      </w:pPr>
      <w:r w:rsidRPr="642B55D5">
        <w:rPr>
          <w:rFonts w:eastAsia="Verdana" w:cs="Verdana"/>
          <w:color w:val="000000" w:themeColor="text1"/>
        </w:rPr>
        <w:t>Así mismo, se establecieron mecanismos para la implementación de procesos de interoperabilidad que automaticen la consecución de información para las áreas misionales de la UPME y los análisis requeridos en la planeación del sector, de tal forma, que los datos lleguen periódicamente a la entidad, con la calidad requerida y en el momento definido; para esto se está trabajando con XM, la Agencia Nacional de Minería, CENIT, DANE y Superintendencia de servicios públicos domiciliarios, cumpliendo estándares y metodologías definidas por MINTIC.</w:t>
      </w:r>
    </w:p>
    <w:p w14:paraId="5B93A17F" w14:textId="7B8FA56F" w:rsidR="6FCA794F" w:rsidRDefault="6FCA794F" w:rsidP="46798A06">
      <w:pPr>
        <w:rPr>
          <w:rFonts w:asciiTheme="minorHAnsi" w:eastAsiaTheme="minorEastAsia" w:hAnsiTheme="minorHAnsi"/>
          <w:b/>
          <w:bCs/>
          <w:color w:val="000000" w:themeColor="text1"/>
          <w:sz w:val="24"/>
          <w:szCs w:val="24"/>
        </w:rPr>
      </w:pPr>
      <w:commentRangeStart w:id="22"/>
      <w:r w:rsidRPr="46798A06">
        <w:rPr>
          <w:rFonts w:asciiTheme="minorHAnsi" w:eastAsiaTheme="minorEastAsia" w:hAnsiTheme="minorHAnsi"/>
          <w:b/>
          <w:bCs/>
          <w:color w:val="000000" w:themeColor="text1"/>
          <w:sz w:val="24"/>
          <w:szCs w:val="24"/>
        </w:rPr>
        <w:t>8.</w:t>
      </w:r>
      <w:r w:rsidR="14EB2EBB" w:rsidRPr="46798A06">
        <w:rPr>
          <w:rFonts w:asciiTheme="minorHAnsi" w:eastAsiaTheme="minorEastAsia" w:hAnsiTheme="minorHAnsi"/>
          <w:b/>
          <w:bCs/>
          <w:color w:val="000000" w:themeColor="text1"/>
          <w:sz w:val="24"/>
          <w:szCs w:val="24"/>
        </w:rPr>
        <w:t>3.</w:t>
      </w:r>
      <w:r w:rsidRPr="46798A06">
        <w:rPr>
          <w:rFonts w:asciiTheme="minorHAnsi" w:eastAsiaTheme="minorEastAsia" w:hAnsiTheme="minorHAnsi"/>
          <w:b/>
          <w:bCs/>
          <w:color w:val="000000" w:themeColor="text1"/>
          <w:sz w:val="24"/>
          <w:szCs w:val="24"/>
        </w:rPr>
        <w:t>3 Período 2024</w:t>
      </w:r>
      <w:r w:rsidR="65ECE020" w:rsidRPr="46798A06">
        <w:rPr>
          <w:rFonts w:asciiTheme="minorHAnsi" w:eastAsiaTheme="minorEastAsia" w:hAnsiTheme="minorHAnsi"/>
          <w:b/>
          <w:bCs/>
          <w:color w:val="000000" w:themeColor="text1"/>
          <w:sz w:val="24"/>
          <w:szCs w:val="24"/>
        </w:rPr>
        <w:t xml:space="preserve"> – </w:t>
      </w:r>
      <w:r w:rsidRPr="46798A06">
        <w:rPr>
          <w:rFonts w:asciiTheme="minorHAnsi" w:eastAsiaTheme="minorEastAsia" w:hAnsiTheme="minorHAnsi"/>
          <w:b/>
          <w:bCs/>
          <w:color w:val="000000" w:themeColor="text1"/>
          <w:sz w:val="24"/>
          <w:szCs w:val="24"/>
        </w:rPr>
        <w:t>2025</w:t>
      </w:r>
      <w:commentRangeEnd w:id="22"/>
      <w:r>
        <w:rPr>
          <w:rStyle w:val="CommentReference"/>
          <w:rFonts w:asciiTheme="minorHAnsi" w:eastAsiaTheme="minorEastAsia" w:hAnsiTheme="minorHAnsi"/>
          <w:b/>
          <w:bCs/>
          <w:color w:val="000000" w:themeColor="text1"/>
          <w:sz w:val="24"/>
          <w:szCs w:val="24"/>
        </w:rPr>
        <w:commentReference w:id="22"/>
      </w:r>
    </w:p>
    <w:p w14:paraId="6565114C" w14:textId="7C6853DC" w:rsidR="65ECE020" w:rsidRDefault="65ECE020" w:rsidP="642B55D5">
      <w:pPr>
        <w:rPr>
          <w:rFonts w:asciiTheme="minorHAnsi" w:eastAsiaTheme="minorEastAsia" w:hAnsiTheme="minorHAnsi"/>
          <w:b/>
          <w:bCs/>
          <w:color w:val="000000" w:themeColor="text1"/>
          <w:u w:val="single"/>
        </w:rPr>
      </w:pPr>
      <w:r w:rsidRPr="642B55D5">
        <w:rPr>
          <w:rFonts w:asciiTheme="minorHAnsi" w:eastAsiaTheme="minorEastAsia" w:hAnsiTheme="minorHAnsi"/>
          <w:b/>
          <w:bCs/>
          <w:color w:val="000000" w:themeColor="text1"/>
          <w:u w:val="single"/>
        </w:rPr>
        <w:t>Fortalecimiento de la Política de Gobierno Digital</w:t>
      </w:r>
    </w:p>
    <w:p w14:paraId="7808F3DC" w14:textId="6C5EF6BD" w:rsidR="0F43DA93" w:rsidRDefault="0F43DA93" w:rsidP="642B55D5">
      <w:pPr>
        <w:rPr>
          <w:rFonts w:eastAsia="Verdana" w:cs="Verdana"/>
          <w:color w:val="000000" w:themeColor="text1"/>
        </w:rPr>
      </w:pPr>
      <w:r w:rsidRPr="642B55D5">
        <w:rPr>
          <w:rFonts w:eastAsia="Verdana" w:cs="Verdana"/>
          <w:color w:val="000000" w:themeColor="text1"/>
        </w:rPr>
        <w:t>La Política de Gobierno Digital promueve el uso estratégico de las TIC para modernizar el sector público, impulsar una ciudadanía más competitiva e innovadora, y fortalecer la confianza digital. A través de la transformación de procesos, cultura organizacional y uso de tecnologías emergentes, busca mejorar la eficiencia y efectividad en la relación entre el Estado y la ciudadanía.</w:t>
      </w:r>
    </w:p>
    <w:p w14:paraId="5A481138" w14:textId="5D25FE75" w:rsidR="0F43DA93" w:rsidRDefault="0F43DA93" w:rsidP="642B55D5">
      <w:r w:rsidRPr="642B55D5">
        <w:rPr>
          <w:rFonts w:eastAsia="Verdana" w:cs="Verdana"/>
          <w:color w:val="000000" w:themeColor="text1"/>
        </w:rPr>
        <w:t>Al comparar los resultados obtenidos en las mediciones del Índice de Gestión y Desempeño de 2023 y 2024, para esta política se observa una variación significativa que refleja los avances y la mejora continua. Mientras que en 2023 el valor registrado fue de 83.9, en 2024 este ascendió a 91.0, lo que representa un cambio del 8.46%.</w:t>
      </w:r>
    </w:p>
    <w:p w14:paraId="6A405A72" w14:textId="4BE946D6" w:rsidR="0F43DA93" w:rsidRDefault="0F43DA93" w:rsidP="642B55D5">
      <w:r w:rsidRPr="642B55D5">
        <w:rPr>
          <w:rFonts w:eastAsia="Verdana" w:cs="Verdana"/>
          <w:color w:val="000000" w:themeColor="text1"/>
        </w:rPr>
        <w:t>Esta evaluación evidencia un sólido avance en áreas clave de la política de Gobierno Digital, alcanzando una calificación de 100 en dimensiones como cultura y apropiación, decisiones basadas en datos y proyectos de transformación digital. Este desempeño revela un compromiso institucional con la innovación, la transparencia y la protección de la información, destacando también el progreso en seguridad y privacidad (91) y estado abierto (98.8).</w:t>
      </w:r>
    </w:p>
    <w:p w14:paraId="7423D8B2" w14:textId="06335C85" w:rsidR="0F43DA93" w:rsidRDefault="0F43DA93" w:rsidP="642B55D5">
      <w:r w:rsidRPr="642B55D5">
        <w:rPr>
          <w:rFonts w:eastAsia="Verdana" w:cs="Verdana"/>
          <w:color w:val="000000" w:themeColor="text1"/>
        </w:rPr>
        <w:t>El Plan Estratégico de Tecnologías de la Información y las Comunicaciones 2025-2028 traza la hoja de ruta para el fortalecimiento de la política de Gobierno Digital en la Entidad, a través de la ejecución de iniciativas clave como la implementación del Marco de Referencia de Arquitectura Empresarial, dentro del cual se abordará el cumplimiento de esta como elemento habilitador, considerando los tres (3) modelos de referencia:</w:t>
      </w:r>
    </w:p>
    <w:p w14:paraId="60617AA6" w14:textId="578BF50C" w:rsidR="0F43DA93" w:rsidRDefault="0F43DA93" w:rsidP="642B55D5">
      <w:r w:rsidRPr="642B55D5">
        <w:rPr>
          <w:rFonts w:eastAsia="Verdana" w:cs="Verdana"/>
          <w:color w:val="000000" w:themeColor="text1"/>
        </w:rPr>
        <w:t>Modelo de Arquitectura Empresarial (MAE), el cual busca orientar la aplicación del enfoque de Arquitectura Empresarial para dar solución a problemas complejos y establecer un mapa de ruta de transformación institucional.</w:t>
      </w:r>
    </w:p>
    <w:p w14:paraId="4FB3C118" w14:textId="7B77C725" w:rsidR="0F43DA93" w:rsidRDefault="0F43DA93" w:rsidP="642B55D5">
      <w:r w:rsidRPr="642B55D5">
        <w:rPr>
          <w:rFonts w:eastAsia="Verdana" w:cs="Verdana"/>
          <w:color w:val="000000" w:themeColor="text1"/>
        </w:rPr>
        <w:t>Modelo de Gestión y Gobierno de TI (MGGTI), que permite generar las capacidades institucionales requeridas para prestar servicios de TI a los usuarios de cada entidad, mediante el uso adecuado de las tecnologías de la información y las comunicaciones.</w:t>
      </w:r>
    </w:p>
    <w:p w14:paraId="1D9F56E7" w14:textId="255A225D" w:rsidR="0F43DA93" w:rsidRDefault="0F43DA93" w:rsidP="642B55D5">
      <w:r w:rsidRPr="642B55D5">
        <w:rPr>
          <w:rFonts w:eastAsia="Verdana" w:cs="Verdana"/>
          <w:color w:val="000000" w:themeColor="text1"/>
        </w:rPr>
        <w:t>Modelo de Gestión de Proyectos de TI (MGPTI), que establece los lineamientos que direccionan la administración de los proyectos de tecnología e impulsa la aplicación de mejores prácticas de gestión de proyectos en su ejecución al interior de la Entidad.</w:t>
      </w:r>
    </w:p>
    <w:p w14:paraId="223A74B8" w14:textId="50204724" w:rsidR="0F43DA93" w:rsidRDefault="0F43DA93" w:rsidP="642B55D5">
      <w:r w:rsidRPr="642B55D5">
        <w:rPr>
          <w:rFonts w:eastAsia="Verdana" w:cs="Verdana"/>
          <w:color w:val="000000" w:themeColor="text1"/>
        </w:rPr>
        <w:t>De igual forma, para la vigencia 2025, el proyecto de inversión constituye un pilar fundamental para asegurar la modernización tecnológica del Ministerio, promoviendo una gestión más eficiente, transparente y orientada a resultados.</w:t>
      </w:r>
    </w:p>
    <w:p w14:paraId="550F3A21" w14:textId="1AD2635E" w:rsidR="0F43DA93" w:rsidRDefault="0F43DA93" w:rsidP="642B55D5">
      <w:r w:rsidRPr="642B55D5">
        <w:rPr>
          <w:rFonts w:eastAsia="Verdana" w:cs="Verdana"/>
          <w:color w:val="000000" w:themeColor="text1"/>
        </w:rPr>
        <w:t>Este proyecto contempla un componente de carácter sectorial, cuyo objetivo es articular la gestión de tecnologías de la información (TI) y promover iniciativas de transformación digital en el sector. Este componente se desarrolla a través de actividades orientadas al fortalecimiento de capacidades para la transformación digital del sector minero-energético, mediante acciones como las siguientes:</w:t>
      </w:r>
    </w:p>
    <w:p w14:paraId="34EA46EC" w14:textId="6B318FE8" w:rsidR="0F43DA93" w:rsidRDefault="0F43DA93" w:rsidP="642B55D5">
      <w:pPr>
        <w:rPr>
          <w:rFonts w:eastAsia="Verdana" w:cs="Verdana"/>
          <w:color w:val="000000" w:themeColor="text1"/>
        </w:rPr>
      </w:pPr>
      <w:commentRangeStart w:id="24"/>
      <w:r w:rsidRPr="642B55D5">
        <w:rPr>
          <w:rFonts w:eastAsia="Verdana" w:cs="Verdana"/>
          <w:color w:val="000000" w:themeColor="text1"/>
        </w:rPr>
        <w:t>Implementación del Plan Estratégico de Tecnologías de la Información (PETI) Sectorial; definición y aprobación de políticas y estándares que faciliten la gestión y la gobernabilidad de TI del sector; gestión de la infraestructura y servicios de TI para la seguridad de la información y la continuidad del negocio en el sector; y fortalecimiento de las capacidades de innovación tecnológica del sector.</w:t>
      </w:r>
      <w:commentRangeEnd w:id="24"/>
      <w:r>
        <w:rPr>
          <w:rStyle w:val="CommentReference"/>
          <w:rFonts w:eastAsia="Verdana" w:cs="Verdana"/>
          <w:color w:val="000000" w:themeColor="text1"/>
          <w:sz w:val="22"/>
          <w:szCs w:val="22"/>
        </w:rPr>
        <w:commentReference w:id="24"/>
      </w:r>
    </w:p>
    <w:p w14:paraId="79C4F805" w14:textId="03ABD68E" w:rsidR="0F43DA93" w:rsidRDefault="0F43DA93" w:rsidP="642B55D5">
      <w:r w:rsidRPr="77689C34">
        <w:rPr>
          <w:rFonts w:eastAsia="Verdana" w:cs="Verdana"/>
          <w:color w:val="000000" w:themeColor="text1"/>
        </w:rPr>
        <w:t>Estas acciones permitirán avanzar en la interoperabilidad entre sistemas, la protección de la información, el análisis inteligente de datos, la implementación de modelos de inteligencia artificial y la generación de valor público, alineando los esfuerzos institucionales con los lineamientos de la política de Gobierno Digital y contribuyendo así al desarrollo sostenible del sector minero-energético.</w:t>
      </w:r>
    </w:p>
    <w:p w14:paraId="05FAFD90" w14:textId="24CAA7BB" w:rsidR="38AD4277" w:rsidRDefault="38AD4277" w:rsidP="77689C34">
      <w:pPr>
        <w:rPr>
          <w:rFonts w:eastAsia="Verdana" w:cs="Verdana"/>
          <w:color w:val="000000" w:themeColor="text1"/>
        </w:rPr>
      </w:pPr>
      <w:r w:rsidRPr="77689C34">
        <w:rPr>
          <w:rFonts w:eastAsia="Verdana" w:cs="Verdana"/>
          <w:color w:val="000000" w:themeColor="text1"/>
        </w:rPr>
        <w:t xml:space="preserve">A continuación, se presentan las líneas estratégicas definidas dentro del Peti Sectorial: </w:t>
      </w:r>
    </w:p>
    <w:p w14:paraId="1E1D7C5E" w14:textId="280C48F4" w:rsidR="3CB92FE9" w:rsidRDefault="3CB92FE9" w:rsidP="77689C34">
      <w:pPr>
        <w:pStyle w:val="Heading3"/>
        <w:numPr>
          <w:ilvl w:val="0"/>
          <w:numId w:val="0"/>
        </w:numPr>
        <w:spacing w:before="281" w:after="281"/>
        <w:rPr>
          <w:rFonts w:eastAsia="Verdana" w:cs="Verdana"/>
          <w:b/>
          <w:bCs/>
          <w:color w:val="auto"/>
          <w:sz w:val="22"/>
          <w:szCs w:val="22"/>
        </w:rPr>
      </w:pPr>
      <w:r w:rsidRPr="77689C34">
        <w:rPr>
          <w:rFonts w:eastAsia="Verdana" w:cs="Verdana"/>
          <w:b/>
          <w:bCs/>
          <w:color w:val="auto"/>
          <w:sz w:val="22"/>
          <w:szCs w:val="22"/>
        </w:rPr>
        <w:t>Gobernanza, Análisis y Explotación Estratégica de Datos Sectoriales</w:t>
      </w:r>
    </w:p>
    <w:p w14:paraId="3981F118" w14:textId="5A4F3719" w:rsidR="3CB92FE9" w:rsidRDefault="3CB92FE9" w:rsidP="77689C34">
      <w:pPr>
        <w:spacing w:before="240" w:after="240"/>
        <w:rPr>
          <w:rFonts w:eastAsia="Verdana" w:cs="Verdana"/>
        </w:rPr>
      </w:pPr>
      <w:r w:rsidRPr="77689C34">
        <w:rPr>
          <w:rFonts w:eastAsia="Verdana" w:cs="Verdana"/>
        </w:rPr>
        <w:t>Esta línea estratégica busca fortalecer la gestión, integración y aprovechamiento de los datos del sector minero energético, mediante la adopción de lineamientos de gobernanza, el desarrollo de capacidades analíticas y la implementación de soluciones tecnológicas que permitan transformar la información en valor para la toma de decisiones.</w:t>
      </w:r>
    </w:p>
    <w:p w14:paraId="79D8C94C" w14:textId="082F729A" w:rsidR="3CB92FE9" w:rsidRDefault="3CB92FE9" w:rsidP="77689C34">
      <w:pPr>
        <w:spacing w:before="240" w:after="240"/>
        <w:rPr>
          <w:rFonts w:eastAsia="Verdana" w:cs="Verdana"/>
        </w:rPr>
      </w:pPr>
      <w:r w:rsidRPr="77689C34">
        <w:rPr>
          <w:rFonts w:eastAsia="Verdana" w:cs="Verdana"/>
        </w:rPr>
        <w:t>Dentro de esta línea estratégica se contemplan las siguientes iniciativas:</w:t>
      </w:r>
    </w:p>
    <w:p w14:paraId="3B2D1155" w14:textId="2E90EA21" w:rsidR="3CB92FE9" w:rsidRDefault="3CB92FE9" w:rsidP="77689C34">
      <w:pPr>
        <w:pStyle w:val="ListParagraph"/>
        <w:spacing w:after="0"/>
        <w:rPr>
          <w:rFonts w:eastAsia="Verdana" w:cs="Verdana"/>
        </w:rPr>
      </w:pPr>
      <w:r w:rsidRPr="77689C34">
        <w:rPr>
          <w:rFonts w:eastAsia="Verdana" w:cs="Verdana"/>
        </w:rPr>
        <w:t xml:space="preserve">Unidad de Gestión Estratégica de Infraestructura y Aplicaciones de TI (CTO). </w:t>
      </w:r>
    </w:p>
    <w:p w14:paraId="548BA14D" w14:textId="75A11265" w:rsidR="3CB92FE9" w:rsidRDefault="3CB92FE9" w:rsidP="77689C34">
      <w:pPr>
        <w:pStyle w:val="ListParagraph"/>
        <w:spacing w:after="0"/>
        <w:rPr>
          <w:rFonts w:eastAsia="Verdana" w:cs="Verdana"/>
        </w:rPr>
      </w:pPr>
      <w:r w:rsidRPr="77689C34">
        <w:rPr>
          <w:rFonts w:eastAsia="Verdana" w:cs="Verdana"/>
        </w:rPr>
        <w:t xml:space="preserve">Consolidar la Infraestructura de Datos Espaciales (IDE) del MME. </w:t>
      </w:r>
    </w:p>
    <w:p w14:paraId="14B6F804" w14:textId="184D8B35" w:rsidR="3CB92FE9" w:rsidRDefault="3CB92FE9" w:rsidP="77689C34">
      <w:pPr>
        <w:pStyle w:val="ListParagraph"/>
        <w:spacing w:after="0"/>
        <w:rPr>
          <w:rFonts w:eastAsia="Verdana" w:cs="Verdana"/>
        </w:rPr>
      </w:pPr>
      <w:r w:rsidRPr="77689C34">
        <w:rPr>
          <w:rFonts w:eastAsia="Verdana" w:cs="Verdana"/>
        </w:rPr>
        <w:t>Generar información y estudios a partir de la analítica de datos en los sistemas de información del Sector Minero Energético.</w:t>
      </w:r>
    </w:p>
    <w:p w14:paraId="28DD244C" w14:textId="4F4E273B" w:rsidR="77689C34" w:rsidRDefault="77689C34" w:rsidP="77689C34">
      <w:pPr>
        <w:spacing w:after="0"/>
        <w:rPr>
          <w:rFonts w:eastAsia="Verdana" w:cs="Verdana"/>
        </w:rPr>
      </w:pPr>
    </w:p>
    <w:p w14:paraId="370E272E" w14:textId="0A438436" w:rsidR="0C68E6C5" w:rsidRDefault="0C68E6C5" w:rsidP="77689C34">
      <w:pPr>
        <w:pStyle w:val="Heading3"/>
        <w:numPr>
          <w:ilvl w:val="0"/>
          <w:numId w:val="0"/>
        </w:numPr>
        <w:spacing w:before="281" w:after="281"/>
        <w:jc w:val="left"/>
        <w:rPr>
          <w:rFonts w:eastAsia="Verdana" w:cs="Verdana"/>
          <w:b/>
          <w:bCs/>
          <w:color w:val="auto"/>
          <w:sz w:val="22"/>
          <w:szCs w:val="22"/>
        </w:rPr>
      </w:pPr>
      <w:r w:rsidRPr="77689C34">
        <w:rPr>
          <w:rFonts w:eastAsia="Verdana" w:cs="Verdana"/>
          <w:b/>
          <w:bCs/>
          <w:color w:val="auto"/>
          <w:sz w:val="22"/>
          <w:szCs w:val="22"/>
        </w:rPr>
        <w:t>Interoperabilidad de Datos Sectoriales</w:t>
      </w:r>
    </w:p>
    <w:p w14:paraId="3D36C0D7" w14:textId="6BBCDC98" w:rsidR="0C68E6C5" w:rsidRDefault="0C68E6C5" w:rsidP="77689C34">
      <w:pPr>
        <w:spacing w:before="240" w:after="240"/>
      </w:pPr>
      <w:r w:rsidRPr="77689C34">
        <w:rPr>
          <w:rFonts w:eastAsia="Verdana" w:cs="Verdana"/>
        </w:rPr>
        <w:t>Esta línea estratégica busca habilitar el intercambio eficiente, seguro y estandarizado de información entre las entidades del sector minero energético, mediante la adopción del marco de interoperabilidad definido por MinTIC y la implementación de soluciones tecnológicas que faciliten la integración de sistemas de información.</w:t>
      </w:r>
    </w:p>
    <w:p w14:paraId="70B44C56" w14:textId="7F39E9DF" w:rsidR="0C68E6C5" w:rsidRDefault="0C68E6C5" w:rsidP="77689C34">
      <w:pPr>
        <w:spacing w:before="240" w:after="240"/>
      </w:pPr>
      <w:r w:rsidRPr="77689C34">
        <w:rPr>
          <w:rFonts w:eastAsia="Verdana" w:cs="Verdana"/>
        </w:rPr>
        <w:t>Dentro de esta línea estratégica se contempla la siguiente iniciativa:</w:t>
      </w:r>
    </w:p>
    <w:p w14:paraId="129361E9" w14:textId="7ED5C65B" w:rsidR="0C68E6C5" w:rsidRDefault="0C68E6C5" w:rsidP="77689C34">
      <w:pPr>
        <w:pStyle w:val="ListParagraph"/>
        <w:spacing w:after="0"/>
        <w:rPr>
          <w:rFonts w:eastAsia="Verdana" w:cs="Verdana"/>
        </w:rPr>
      </w:pPr>
      <w:r w:rsidRPr="77689C34">
        <w:rPr>
          <w:rFonts w:eastAsia="Verdana" w:cs="Verdana"/>
        </w:rPr>
        <w:t>Evolución a la implementación del Marco de Interoperabilidad definido por MINTIC y las mejores prácticas, como solución de intercambio de información con otras entidades.</w:t>
      </w:r>
    </w:p>
    <w:p w14:paraId="2F26FEEA" w14:textId="70D5E021" w:rsidR="77689C34" w:rsidRDefault="77689C34" w:rsidP="77689C34">
      <w:pPr>
        <w:spacing w:after="0"/>
        <w:rPr>
          <w:rFonts w:eastAsia="Verdana" w:cs="Verdana"/>
        </w:rPr>
      </w:pPr>
    </w:p>
    <w:p w14:paraId="58CDC3CB" w14:textId="6C24D762" w:rsidR="62EF3B73" w:rsidRDefault="62EF3B73" w:rsidP="77689C34">
      <w:pPr>
        <w:spacing w:after="0"/>
        <w:rPr>
          <w:rFonts w:eastAsia="Verdana" w:cs="Verdana"/>
          <w:b/>
          <w:bCs/>
        </w:rPr>
      </w:pPr>
      <w:r w:rsidRPr="77689C34">
        <w:rPr>
          <w:rFonts w:eastAsia="Verdana" w:cs="Verdana"/>
          <w:b/>
          <w:bCs/>
        </w:rPr>
        <w:t>Fortalecimiento de la Infraestructura Tecnológica, Ciberseguridad y Continuidad Operacional</w:t>
      </w:r>
    </w:p>
    <w:p w14:paraId="70351F1A" w14:textId="46CB8560" w:rsidR="62EF3B73" w:rsidRDefault="62EF3B73" w:rsidP="77689C34">
      <w:pPr>
        <w:spacing w:after="0"/>
      </w:pPr>
      <w:r w:rsidRPr="77689C34">
        <w:rPr>
          <w:rFonts w:eastAsia="Verdana" w:cs="Verdana"/>
        </w:rPr>
        <w:t xml:space="preserve"> </w:t>
      </w:r>
    </w:p>
    <w:p w14:paraId="6F0125EE" w14:textId="42A7EAB4" w:rsidR="62EF3B73" w:rsidRDefault="62EF3B73" w:rsidP="77689C34">
      <w:pPr>
        <w:spacing w:after="0"/>
      </w:pPr>
      <w:r w:rsidRPr="77689C34">
        <w:rPr>
          <w:rFonts w:eastAsia="Verdana" w:cs="Verdana"/>
        </w:rPr>
        <w:t>Esta línea estratégica busca fortalecer y modernizar la infraestructura tecnológica del sector minero energético, mediante la implementación de capacidades orientadas a garantizar la disponibilidad, seguridad, resiliencia y continuidad de los servicios tecnológicos y sistemas de información. Así mismo, promueve el fortalecimiento de mecanismos de ciberseguridad, monitoreo, prevención y respuesta ante incidentes, contribuyendo a la protección de los activos digitales y la continuidad operacional de las entidades del sector.</w:t>
      </w:r>
    </w:p>
    <w:p w14:paraId="2100800E" w14:textId="70245DE4" w:rsidR="62EF3B73" w:rsidRDefault="62EF3B73" w:rsidP="77689C34">
      <w:pPr>
        <w:spacing w:after="0"/>
      </w:pPr>
      <w:r w:rsidRPr="77689C34">
        <w:rPr>
          <w:rFonts w:eastAsia="Verdana" w:cs="Verdana"/>
        </w:rPr>
        <w:t xml:space="preserve"> </w:t>
      </w:r>
    </w:p>
    <w:p w14:paraId="2BF0BCC4" w14:textId="12092D0D" w:rsidR="62EF3B73" w:rsidRDefault="62EF3B73" w:rsidP="77689C34">
      <w:pPr>
        <w:spacing w:after="0"/>
      </w:pPr>
      <w:r w:rsidRPr="77689C34">
        <w:rPr>
          <w:rFonts w:eastAsia="Verdana" w:cs="Verdana"/>
        </w:rPr>
        <w:t>Dentro de esta línea estratégica se contempla la siguiente iniciativa:</w:t>
      </w:r>
    </w:p>
    <w:p w14:paraId="1C19CD78" w14:textId="4779DB04" w:rsidR="62EF3B73" w:rsidRDefault="62EF3B73" w:rsidP="77689C34">
      <w:pPr>
        <w:spacing w:after="0"/>
      </w:pPr>
      <w:r w:rsidRPr="77689C34">
        <w:rPr>
          <w:rFonts w:eastAsia="Verdana" w:cs="Verdana"/>
        </w:rPr>
        <w:t xml:space="preserve"> </w:t>
      </w:r>
    </w:p>
    <w:p w14:paraId="17C6DB67" w14:textId="36E66B80" w:rsidR="62EF3B73" w:rsidRDefault="62EF3B73" w:rsidP="77689C34">
      <w:pPr>
        <w:pStyle w:val="ListParagraph"/>
        <w:spacing w:after="0"/>
        <w:rPr>
          <w:rFonts w:eastAsia="Verdana" w:cs="Verdana"/>
        </w:rPr>
      </w:pPr>
      <w:r w:rsidRPr="77689C34">
        <w:rPr>
          <w:rFonts w:eastAsia="Verdana" w:cs="Verdana"/>
        </w:rPr>
        <w:t>Implementar Centro de Monitoreo Sectorial, que contemple servicios e infraestructura para la sala de monitoreo y control, CSIRT, CDA/DRP y soluciones basadas en tecnologías emergentes conforme a las iniciativas del PETI.</w:t>
      </w:r>
    </w:p>
    <w:p w14:paraId="24481059" w14:textId="4DA9477A" w:rsidR="77689C34" w:rsidRDefault="77689C34" w:rsidP="77689C34">
      <w:pPr>
        <w:spacing w:after="0"/>
        <w:rPr>
          <w:rFonts w:eastAsia="Verdana" w:cs="Verdana"/>
        </w:rPr>
      </w:pPr>
    </w:p>
    <w:p w14:paraId="3FF3E869" w14:textId="5A027E1F" w:rsidR="77689C34" w:rsidRDefault="77689C34" w:rsidP="77689C34">
      <w:pPr>
        <w:spacing w:after="0"/>
        <w:rPr>
          <w:rFonts w:eastAsia="Verdana" w:cs="Verdana"/>
        </w:rPr>
      </w:pPr>
    </w:p>
    <w:p w14:paraId="42562661" w14:textId="1C094607" w:rsidR="4032C3A8" w:rsidRDefault="4032C3A8" w:rsidP="77689C34">
      <w:pPr>
        <w:spacing w:after="0"/>
        <w:rPr>
          <w:rFonts w:eastAsia="Verdana" w:cs="Verdana"/>
          <w:b/>
          <w:bCs/>
        </w:rPr>
      </w:pPr>
      <w:r w:rsidRPr="77689C34">
        <w:rPr>
          <w:rFonts w:eastAsia="Verdana" w:cs="Verdana"/>
          <w:b/>
          <w:bCs/>
        </w:rPr>
        <w:t>Innovación y Adopción de Tecnologías Disruptivas (Transformación Digital)</w:t>
      </w:r>
    </w:p>
    <w:p w14:paraId="5F429EE4" w14:textId="00531B07" w:rsidR="4032C3A8" w:rsidRDefault="4032C3A8" w:rsidP="77689C34">
      <w:pPr>
        <w:spacing w:after="0"/>
      </w:pPr>
      <w:r w:rsidRPr="77689C34">
        <w:rPr>
          <w:rFonts w:eastAsia="Verdana" w:cs="Verdana"/>
        </w:rPr>
        <w:t xml:space="preserve"> </w:t>
      </w:r>
    </w:p>
    <w:p w14:paraId="5EAD4812" w14:textId="2DEBB1AB" w:rsidR="4032C3A8" w:rsidRDefault="4032C3A8" w:rsidP="77689C34">
      <w:pPr>
        <w:spacing w:after="0"/>
      </w:pPr>
      <w:r w:rsidRPr="77689C34">
        <w:rPr>
          <w:rFonts w:eastAsia="Verdana" w:cs="Verdana"/>
        </w:rPr>
        <w:t>Esta línea estratégica busca establecer la estrategia sectorial y los equipos de investigación y desarrollo para formular el programa de Transformación Digital, que permita implementar soluciones basadas en tecnologías emergentes o de la cuarta revolución industrial. Se tiene previsto implementar iniciativas relacionadas con Big Data, Inteligencia Artificial (IA), Internet de las Cosas (IoT), tokenización o activos digitales, realidad aumentada, realidad virtual y otras tecnologías orientadas a fortalecer la innovación y la transformación digital del sector minero energético.</w:t>
      </w:r>
    </w:p>
    <w:p w14:paraId="29ACC9E8" w14:textId="03C46A45" w:rsidR="4032C3A8" w:rsidRDefault="4032C3A8" w:rsidP="77689C34">
      <w:pPr>
        <w:spacing w:after="0"/>
      </w:pPr>
      <w:r w:rsidRPr="77689C34">
        <w:rPr>
          <w:rFonts w:eastAsia="Verdana" w:cs="Verdana"/>
        </w:rPr>
        <w:t xml:space="preserve"> </w:t>
      </w:r>
    </w:p>
    <w:p w14:paraId="028C9D1B" w14:textId="370494AD" w:rsidR="4032C3A8" w:rsidRDefault="4032C3A8" w:rsidP="77689C34">
      <w:pPr>
        <w:spacing w:after="0"/>
      </w:pPr>
      <w:r w:rsidRPr="77689C34">
        <w:rPr>
          <w:rFonts w:eastAsia="Verdana" w:cs="Verdana"/>
        </w:rPr>
        <w:t>Dentro de esta línea estratégica se contempla la siguiente iniciativa:</w:t>
      </w:r>
    </w:p>
    <w:p w14:paraId="5AFFFDA3" w14:textId="23AE72B8" w:rsidR="4032C3A8" w:rsidRDefault="4032C3A8" w:rsidP="77689C34">
      <w:pPr>
        <w:spacing w:after="0"/>
      </w:pPr>
      <w:r w:rsidRPr="77689C34">
        <w:rPr>
          <w:rFonts w:eastAsia="Verdana" w:cs="Verdana"/>
        </w:rPr>
        <w:t xml:space="preserve"> </w:t>
      </w:r>
    </w:p>
    <w:p w14:paraId="36A41957" w14:textId="430B355E" w:rsidR="05E00C47" w:rsidRDefault="05E00C47" w:rsidP="77689C34">
      <w:pPr>
        <w:pStyle w:val="ListParagraph"/>
        <w:spacing w:after="0"/>
        <w:rPr>
          <w:rFonts w:eastAsia="Verdana" w:cs="Verdana"/>
        </w:rPr>
      </w:pPr>
      <w:r w:rsidRPr="77689C34">
        <w:rPr>
          <w:rFonts w:eastAsia="Verdana" w:cs="Verdana"/>
        </w:rPr>
        <w:t>Definición de la Estrategia sectorial y los equipos de investigación y desarrollo para formular el programa de Transformación Digital.</w:t>
      </w:r>
    </w:p>
    <w:p w14:paraId="243D0C9B" w14:textId="7624AF19" w:rsidR="77689C34" w:rsidRDefault="77689C34" w:rsidP="77689C34">
      <w:pPr>
        <w:spacing w:after="0"/>
        <w:rPr>
          <w:rFonts w:eastAsia="Verdana" w:cs="Verdana"/>
        </w:rPr>
      </w:pPr>
    </w:p>
    <w:p w14:paraId="725656E2" w14:textId="16B28BC6" w:rsidR="18450F16" w:rsidRDefault="18450F16" w:rsidP="77689C34">
      <w:pPr>
        <w:spacing w:after="0"/>
        <w:rPr>
          <w:rFonts w:eastAsia="Verdana" w:cs="Verdana"/>
          <w:b/>
          <w:bCs/>
        </w:rPr>
      </w:pPr>
      <w:r w:rsidRPr="77689C34">
        <w:rPr>
          <w:rFonts w:eastAsia="Verdana" w:cs="Verdana"/>
          <w:b/>
          <w:bCs/>
        </w:rPr>
        <w:t>Gobernanza Digital, Arquitectura Empresarial y Optimización del Ecosistema Tecnológico</w:t>
      </w:r>
    </w:p>
    <w:p w14:paraId="29A081E7" w14:textId="655A868E" w:rsidR="18450F16" w:rsidRDefault="18450F16" w:rsidP="77689C34">
      <w:pPr>
        <w:spacing w:after="0"/>
      </w:pPr>
      <w:r w:rsidRPr="77689C34">
        <w:rPr>
          <w:rFonts w:eastAsia="Verdana" w:cs="Verdana"/>
        </w:rPr>
        <w:t xml:space="preserve"> </w:t>
      </w:r>
    </w:p>
    <w:p w14:paraId="5EC0187C" w14:textId="3ACE5E18" w:rsidR="18450F16" w:rsidRDefault="18450F16" w:rsidP="77689C34">
      <w:pPr>
        <w:spacing w:after="0"/>
      </w:pPr>
      <w:r w:rsidRPr="77689C34">
        <w:rPr>
          <w:rFonts w:eastAsia="Verdana" w:cs="Verdana"/>
        </w:rPr>
        <w:t>Esta línea estratégica busca fortalecer la gobernanza digital del sector minero energético mediante la adopción del enfoque de Arquitectura Empresarial, la optimización del uso de los recursos tecnológicos y la estandarización del ecosistema de soluciones digitales, promoviendo la integración de trámites y servicios en línea, la mejora en la experiencia del ciudadano y la generación de valor público.</w:t>
      </w:r>
    </w:p>
    <w:p w14:paraId="4DD5CDDF" w14:textId="26A1832F" w:rsidR="18450F16" w:rsidRDefault="18450F16" w:rsidP="77689C34">
      <w:pPr>
        <w:spacing w:after="0"/>
      </w:pPr>
      <w:r w:rsidRPr="77689C34">
        <w:rPr>
          <w:rFonts w:eastAsia="Verdana" w:cs="Verdana"/>
        </w:rPr>
        <w:t xml:space="preserve"> </w:t>
      </w:r>
    </w:p>
    <w:p w14:paraId="07B31085" w14:textId="4DBE9E7B" w:rsidR="18450F16" w:rsidRDefault="18450F16" w:rsidP="77689C34">
      <w:pPr>
        <w:spacing w:after="0"/>
      </w:pPr>
      <w:r w:rsidRPr="77689C34">
        <w:rPr>
          <w:rFonts w:eastAsia="Verdana" w:cs="Verdana"/>
        </w:rPr>
        <w:t>Dentro de esta línea estratégica se contemplan las siguientes iniciativas:</w:t>
      </w:r>
    </w:p>
    <w:p w14:paraId="74EB7548" w14:textId="6EBC44F9" w:rsidR="18450F16" w:rsidRDefault="18450F16" w:rsidP="77689C34">
      <w:pPr>
        <w:spacing w:after="0"/>
      </w:pPr>
      <w:r w:rsidRPr="77689C34">
        <w:rPr>
          <w:rFonts w:eastAsia="Verdana" w:cs="Verdana"/>
        </w:rPr>
        <w:t xml:space="preserve"> </w:t>
      </w:r>
    </w:p>
    <w:p w14:paraId="2675EFDC" w14:textId="4401D09D" w:rsidR="18450F16" w:rsidRDefault="18450F16" w:rsidP="77689C34">
      <w:pPr>
        <w:pStyle w:val="ListParagraph"/>
        <w:spacing w:after="0"/>
        <w:rPr>
          <w:rFonts w:eastAsia="Verdana" w:cs="Verdana"/>
        </w:rPr>
      </w:pPr>
      <w:r w:rsidRPr="77689C34">
        <w:rPr>
          <w:rFonts w:eastAsia="Verdana" w:cs="Verdana"/>
        </w:rPr>
        <w:t>Implementación de una ventanilla única de trámites y servicios ciudadanos digitales.</w:t>
      </w:r>
    </w:p>
    <w:p w14:paraId="76D9A3FF" w14:textId="0462C378" w:rsidR="18450F16" w:rsidRDefault="18450F16" w:rsidP="77689C34">
      <w:pPr>
        <w:pStyle w:val="ListParagraph"/>
        <w:spacing w:after="0"/>
        <w:rPr>
          <w:rFonts w:eastAsia="Verdana" w:cs="Verdana"/>
        </w:rPr>
      </w:pPr>
      <w:r w:rsidRPr="77689C34">
        <w:rPr>
          <w:rFonts w:eastAsia="Verdana" w:cs="Verdana"/>
        </w:rPr>
        <w:t>Acompañamiento en la adopción del proceso de Arquitectura Empresarial (AE) en las entidades.</w:t>
      </w:r>
    </w:p>
    <w:p w14:paraId="75B832F0" w14:textId="3602A489" w:rsidR="18450F16" w:rsidRDefault="18450F16" w:rsidP="77689C34">
      <w:pPr>
        <w:pStyle w:val="ListParagraph"/>
        <w:spacing w:after="0"/>
        <w:rPr>
          <w:rFonts w:eastAsia="Verdana" w:cs="Verdana"/>
        </w:rPr>
      </w:pPr>
      <w:r w:rsidRPr="77689C34">
        <w:rPr>
          <w:rFonts w:eastAsia="Verdana" w:cs="Verdana"/>
        </w:rPr>
        <w:t>Maximizar el valor de la inversión sectorial en software, garantizando la continuidad operativa y la estandarización tecnológica.</w:t>
      </w:r>
    </w:p>
    <w:p w14:paraId="7B7A780E" w14:textId="2D9087CA" w:rsidR="18450F16" w:rsidRDefault="18450F16" w:rsidP="77689C34">
      <w:pPr>
        <w:pStyle w:val="ListParagraph"/>
        <w:spacing w:after="0"/>
        <w:rPr>
          <w:rFonts w:eastAsia="Verdana" w:cs="Verdana"/>
        </w:rPr>
      </w:pPr>
      <w:r w:rsidRPr="77689C34">
        <w:rPr>
          <w:rFonts w:eastAsia="Verdana" w:cs="Verdana"/>
        </w:rPr>
        <w:t>Desarrollo Tecnológico, la Gestión de Conocimiento e Innovación.</w:t>
      </w:r>
    </w:p>
    <w:p w14:paraId="79276A92" w14:textId="3E8CE120" w:rsidR="77689C34" w:rsidRDefault="77689C34" w:rsidP="77689C34">
      <w:pPr>
        <w:rPr>
          <w:rFonts w:eastAsia="Verdana" w:cs="Verdana"/>
          <w:color w:val="000000" w:themeColor="text1"/>
        </w:rPr>
      </w:pPr>
    </w:p>
    <w:p w14:paraId="0363A08E" w14:textId="6545D0D8" w:rsidR="642B55D5" w:rsidRDefault="396A4C07" w:rsidP="00930206">
      <w:pPr>
        <w:rPr>
          <w:rFonts w:asciiTheme="minorHAnsi" w:eastAsiaTheme="minorEastAsia" w:hAnsiTheme="minorHAnsi"/>
          <w:b/>
          <w:bCs/>
          <w:color w:val="000000" w:themeColor="text1"/>
          <w:sz w:val="24"/>
          <w:szCs w:val="24"/>
        </w:rPr>
      </w:pPr>
      <w:r w:rsidRPr="00930206">
        <w:rPr>
          <w:rFonts w:asciiTheme="minorHAnsi" w:eastAsiaTheme="minorEastAsia" w:hAnsiTheme="minorHAnsi"/>
          <w:b/>
          <w:bCs/>
          <w:color w:val="000000" w:themeColor="text1"/>
          <w:sz w:val="24"/>
          <w:szCs w:val="24"/>
        </w:rPr>
        <w:t>8.3.4 Período 2025 – 2026</w:t>
      </w:r>
    </w:p>
    <w:p w14:paraId="6E403DC8" w14:textId="71E34B4C" w:rsidR="7328FF4D" w:rsidRDefault="6032CFCE" w:rsidP="77689C34">
      <w:pPr>
        <w:rPr>
          <w:rFonts w:eastAsia="Verdana" w:cs="Verdana"/>
          <w:b/>
          <w:bCs/>
        </w:rPr>
      </w:pPr>
      <w:r w:rsidRPr="77689C34">
        <w:rPr>
          <w:rFonts w:eastAsia="Verdana" w:cs="Verdana"/>
          <w:b/>
          <w:bCs/>
        </w:rPr>
        <w:t>Estrategia TIC Sectorial</w:t>
      </w:r>
    </w:p>
    <w:p w14:paraId="1AE16A1A" w14:textId="450FBD60" w:rsidR="7AFF1DC8" w:rsidRDefault="339118D1" w:rsidP="24242B6F">
      <w:pPr>
        <w:rPr>
          <w:rFonts w:eastAsia="Verdana" w:cs="Verdana"/>
        </w:rPr>
      </w:pPr>
      <w:r w:rsidRPr="24242B6F">
        <w:rPr>
          <w:rFonts w:eastAsia="Verdana" w:cs="Verdana"/>
        </w:rPr>
        <w:t xml:space="preserve">En el año 2025 se trabajó de forma anticipada en la construcción de los principales insumos para la formulación del PETI Sectorial, con el objetivo de fortalecer el trabajo articulado entre las entidades y avanzar en la consolidación de una visión conjunta de transformación digital para el sector minero-energético. En el transcurso de este proceso se realizaron diferentes mesas sectoriales con las entidades de las vertientes de Minería, Energía e Hidrocarburos, en los cuales se desarrollaron ejercicios de análisis orientados a recopilar información clave que permita construir avances sobre el documento estructurado del Peti Sectorial. </w:t>
      </w:r>
    </w:p>
    <w:p w14:paraId="2FA296B5" w14:textId="2A360FF0" w:rsidR="7AFF1DC8" w:rsidRDefault="339118D1" w:rsidP="24242B6F">
      <w:pPr>
        <w:rPr>
          <w:rFonts w:eastAsia="Verdana" w:cs="Verdana"/>
        </w:rPr>
      </w:pPr>
      <w:r w:rsidRPr="24242B6F">
        <w:rPr>
          <w:rFonts w:eastAsia="Verdana" w:cs="Verdana"/>
        </w:rPr>
        <w:t xml:space="preserve">Una de las piezas fundamentales de este trabajo, fue el levantamiento y análisis de las cadenas de valor sectoriales, lo que permitió comprender con mayor detalle cómo se desarrollan los procesos misionales, cuáles son los actores que intervienen, qué información se intercambia entre entidades y cuáles son los trámites y servicios más relevantes dentro del sector. Estas mesas permitieron, además, identificar puntos críticos, necesidades comunes y oportunidades de mejora para fortalecer la articulación sectorial y avanzar hacia procesos más integrados. Paralelamente se realizaron levantamientos de los catálogos de sistemas de información, activos de información e infraestructura tecnológica, con el fin de conocer las capacidades existentes en las entidades y su relación con los procesos estratégicos y operativos. </w:t>
      </w:r>
    </w:p>
    <w:p w14:paraId="16B30C36" w14:textId="08246C48" w:rsidR="7AFF1DC8" w:rsidRDefault="339118D1" w:rsidP="24242B6F">
      <w:pPr>
        <w:rPr>
          <w:rFonts w:eastAsia="Verdana" w:cs="Verdana"/>
        </w:rPr>
      </w:pPr>
      <w:r w:rsidRPr="24242B6F">
        <w:rPr>
          <w:rFonts w:eastAsia="Verdana" w:cs="Verdana"/>
        </w:rPr>
        <w:t xml:space="preserve">De igual manera se trabajó en consolidar la normativa vigente y en ejercicios de análisis de estado actual (As Is), definición de estado deseado (To Be) y análisis de brechas que permitieron identificar capacidades, necesidades y retos para la modernización tecnológica del sector. En estas jornadas también se revisaron las iniciativas y proyectos que las entidades tenían previstos para la vigencia, con el objetivo de que luego pudieran quedar de alguna manera pudieren verse reflejada con las líneas estratégicas definidas en el PETI Sectorial y aportar a una visión coordinada de transformación digital. Con la información recolectada en el desarrollo de estos ejercicios, se elaboró un diagnóstico sectorial en temas relacionados con datos, sistemas de información, infraestructura tecnológica, seguridad de la información y componentes transversales de transformación digital. Esto hizo posible adentrase en una visión más clara del estado actual del sector y de los principales desafíos que se deben enfrentar en los próximos años. El trabajo realizado permitió avanzar en la consolidación del documento PETI Sectorial, con componentes como diagnóstico, estado al que se quiere llegar, análisis de brechas, hoja de ruta y estimación de inversiones requeridas. Se plantearon también iniciativas y proyectos orientados al cierre de brechas y al fortalecimiento de las capacidades digitales del sector. </w:t>
      </w:r>
    </w:p>
    <w:p w14:paraId="730EFB8D" w14:textId="10604E83" w:rsidR="7AFF1DC8" w:rsidRDefault="2BC40C14" w:rsidP="24242B6F">
      <w:pPr>
        <w:rPr>
          <w:rFonts w:eastAsia="Verdana" w:cs="Verdana"/>
        </w:rPr>
      </w:pPr>
      <w:r w:rsidRPr="44AD296D">
        <w:rPr>
          <w:rFonts w:eastAsia="Verdana" w:cs="Verdana"/>
        </w:rPr>
        <w:t>Por último, se establecieron indicadores de seguimiento (KPI) para respaldar las actividades de monitoreo y control del PETI Sectorial. También se hicieron algunos ajustes de redacción y presentación del documento, con el fin de facilitar su lectura y disponer de una versión preliminar para socializar con las entidades adscritas.</w:t>
      </w:r>
    </w:p>
    <w:p w14:paraId="59DB4477" w14:textId="14655F2B" w:rsidR="0A541485" w:rsidRDefault="0A541485" w:rsidP="77689C34">
      <w:pPr>
        <w:spacing w:after="160" w:line="257" w:lineRule="auto"/>
        <w:rPr>
          <w:rFonts w:eastAsia="Verdana" w:cs="Verdana"/>
        </w:rPr>
      </w:pPr>
      <w:r w:rsidRPr="77689C34">
        <w:rPr>
          <w:rFonts w:eastAsia="Verdana" w:cs="Verdana"/>
        </w:rPr>
        <w:t>En la vigencia 2026 se siguió avanzando en las actividades de articulación, consolidación, presentación, socialización y seguimiento del PETI Sectorial, se fortaleció el trabajo conjunto con las entidades adscritas del sector minero-energético y se promovieron espacios de coordinación para la gestión de las iniciativas estratégicas definidas dentro de la hoja de ruta sectorial.</w:t>
      </w:r>
    </w:p>
    <w:p w14:paraId="69B14B20" w14:textId="0D56618F" w:rsidR="0A541485" w:rsidRDefault="0A541485" w:rsidP="77689C34">
      <w:pPr>
        <w:spacing w:after="160" w:line="257" w:lineRule="auto"/>
        <w:rPr>
          <w:rFonts w:eastAsia="Verdana" w:cs="Verdana"/>
        </w:rPr>
      </w:pPr>
      <w:r w:rsidRPr="77689C34">
        <w:rPr>
          <w:rFonts w:eastAsia="Verdana" w:cs="Verdana"/>
        </w:rPr>
        <w:t>En este marco, se realizaron distintas mesas sectoriales y espacios de trabajo con equipos técnicos y líderes institucionales, orientados a socializar los avances logrados, revisar las observaciones de las entidades y afianzar el proceso de apropiación del PETI Sectorial. Los ejercicios permitieron sostener una dinámica permanente de validación y construcción conjunta, en torno a las iniciativas priorizadas para el sector.</w:t>
      </w:r>
    </w:p>
    <w:p w14:paraId="2F6754D5" w14:textId="2D99871C" w:rsidR="0A541485" w:rsidRDefault="0A541485" w:rsidP="77689C34">
      <w:pPr>
        <w:spacing w:after="160" w:line="257" w:lineRule="auto"/>
        <w:rPr>
          <w:rFonts w:eastAsia="Verdana" w:cs="Verdana"/>
        </w:rPr>
      </w:pPr>
      <w:r w:rsidRPr="77689C34">
        <w:rPr>
          <w:rFonts w:eastAsia="Verdana" w:cs="Verdana"/>
        </w:rPr>
        <w:t>De la misma manera, se adelantaron sesiones de articulación con arquitectos líderes de los diferentes dominios tecnológicos y con los equipos técnicos del MME, con el fin de revisar estrategias de alineación y acompañamiento para la implementación de los proyectos sectoriales. Estas jornadas permitieron consolidar una visión integral frente a temas asociados con datos, sistemas de información, infraestructura tecnológica, interoperabilidad, seguridad de la información y transformación digital, promoviendo lineamientos y criterios comunes para el desarrollo de las iniciativas.</w:t>
      </w:r>
    </w:p>
    <w:p w14:paraId="0AAA087F" w14:textId="467E6BFB" w:rsidR="0A541485" w:rsidRDefault="0A541485" w:rsidP="77689C34">
      <w:pPr>
        <w:spacing w:after="160" w:line="257" w:lineRule="auto"/>
        <w:rPr>
          <w:rFonts w:eastAsia="Verdana" w:cs="Verdana"/>
        </w:rPr>
      </w:pPr>
      <w:r w:rsidRPr="77689C34">
        <w:rPr>
          <w:rFonts w:eastAsia="Verdana" w:cs="Verdana"/>
        </w:rPr>
        <w:t>De igual forma, se desarrollaron acciones orientadas al seguimiento y control de los proyectos estratégicos definidos en el PETI Sectorial, entre ellas el reporte a los diferentes mecanismos de control institucional que les permitió contar con mayores elementos de análisis sobre el estado de ejecución de las acciones establecidas por cada uno de los proyectos definidos en el Peti Sectorial.</w:t>
      </w:r>
    </w:p>
    <w:p w14:paraId="5C846C2E" w14:textId="0185F276" w:rsidR="0A541485" w:rsidRDefault="0A541485" w:rsidP="77689C34">
      <w:pPr>
        <w:spacing w:after="160" w:line="257" w:lineRule="auto"/>
        <w:rPr>
          <w:rFonts w:eastAsia="Verdana" w:cs="Verdana"/>
        </w:rPr>
      </w:pPr>
      <w:r w:rsidRPr="77689C34">
        <w:rPr>
          <w:rFonts w:eastAsia="Verdana" w:cs="Verdana"/>
        </w:rPr>
        <w:t xml:space="preserve">Se generaron, además, espacios de articulación con los equipos de Planeación, PMO y grupos de apoyo a la gestión, enfocados en revisar temas relacionados con la ejecución presupuestaria, proyección de inversiones y alineación de los proyectos sectoriales con los instrumentos institucionales de planeación. Estas acciones ayudaron a afianzar un seguimiento más integral de las iniciativas, tanto desde el componente estratégico como el financiero. </w:t>
      </w:r>
    </w:p>
    <w:p w14:paraId="7AF92FA0" w14:textId="6316A615" w:rsidR="0A541485" w:rsidRDefault="0A541485" w:rsidP="77689C34">
      <w:pPr>
        <w:spacing w:after="160" w:line="257" w:lineRule="auto"/>
        <w:rPr>
          <w:rFonts w:eastAsia="Verdana" w:cs="Verdana"/>
        </w:rPr>
      </w:pPr>
      <w:r w:rsidRPr="77689C34">
        <w:rPr>
          <w:rFonts w:eastAsia="Verdana" w:cs="Verdana"/>
        </w:rPr>
        <w:t xml:space="preserve">Así mismo, se avanzó en la consolidación de informes de seguimiento y gestión del PETI Sectorial, integrando información reportada por los líderes de proyecto y generando insumos para el monitoreo técnico, operativo y financiero de las iniciativas sectoriales. Esto hizo posible disponer de más elementos de análisis para la toma de decisiones y para el seguimiento de la hoja de ruta definida para el sector. </w:t>
      </w:r>
    </w:p>
    <w:p w14:paraId="647BA3A2" w14:textId="2C802550" w:rsidR="0A541485" w:rsidRDefault="0A541485" w:rsidP="77689C34">
      <w:pPr>
        <w:spacing w:after="160" w:line="257" w:lineRule="auto"/>
        <w:rPr>
          <w:rFonts w:eastAsia="Verdana" w:cs="Verdana"/>
        </w:rPr>
      </w:pPr>
      <w:r w:rsidRPr="7218C9C7">
        <w:rPr>
          <w:rFonts w:eastAsia="Verdana" w:cs="Verdana"/>
        </w:rPr>
        <w:t>Finalmente, se continuó trabajando en el ajuste y fortalecimiento de los proyectos sectoriales formulados en el PETI, incorporando observaciones, recomendaciones y retroalimentación de las entidades adscritas, con el fin de consolidar una estrategia sectorial más articulada, sostenible y alineada con los objetivos de transformación digital del sector minero-energético.</w:t>
      </w:r>
    </w:p>
    <w:p w14:paraId="395CA71C" w14:textId="2B91DA22" w:rsidR="3EFC8584" w:rsidRDefault="42C9FDC1" w:rsidP="3708033A">
      <w:pPr>
        <w:rPr>
          <w:rFonts w:eastAsia="Verdana" w:cs="Verdana"/>
          <w:b/>
          <w:bCs/>
        </w:rPr>
      </w:pPr>
      <w:commentRangeStart w:id="25"/>
      <w:commentRangeStart w:id="26"/>
      <w:r w:rsidRPr="00930206">
        <w:rPr>
          <w:rFonts w:eastAsia="Verdana" w:cs="Verdana"/>
          <w:b/>
          <w:bCs/>
        </w:rPr>
        <w:t>G</w:t>
      </w:r>
      <w:r w:rsidR="3BE50682" w:rsidRPr="00930206">
        <w:rPr>
          <w:rFonts w:eastAsia="Verdana" w:cs="Verdana"/>
          <w:b/>
          <w:bCs/>
        </w:rPr>
        <w:t>estión y Gobierno de Datos</w:t>
      </w:r>
      <w:commentRangeEnd w:id="26"/>
      <w:r>
        <w:rPr>
          <w:rStyle w:val="CommentReference"/>
          <w:rFonts w:eastAsia="Verdana" w:cs="Verdana"/>
          <w:b/>
          <w:bCs/>
          <w:sz w:val="22"/>
          <w:szCs w:val="22"/>
        </w:rPr>
        <w:commentReference w:id="26"/>
      </w:r>
      <w:commentRangeEnd w:id="25"/>
      <w:r>
        <w:rPr>
          <w:rStyle w:val="CommentReference"/>
          <w:rFonts w:eastAsia="Verdana" w:cs="Verdana"/>
          <w:b/>
          <w:bCs/>
          <w:sz w:val="22"/>
          <w:szCs w:val="22"/>
        </w:rPr>
        <w:commentReference w:id="25"/>
      </w:r>
    </w:p>
    <w:p w14:paraId="5A8947B3" w14:textId="0F8761A1" w:rsidR="64555D01" w:rsidRDefault="5F8DE42F" w:rsidP="24242B6F">
      <w:pPr>
        <w:spacing w:after="160" w:line="257" w:lineRule="auto"/>
        <w:rPr>
          <w:rFonts w:eastAsia="Verdana" w:cs="Verdana"/>
        </w:rPr>
      </w:pPr>
      <w:r w:rsidRPr="24242B6F">
        <w:rPr>
          <w:rFonts w:eastAsia="Verdana" w:cs="Verdana"/>
        </w:rPr>
        <w:t>En cumplimiento de la Resolución 40199 de 2021, mediante la cual se adoptaron los lineamientos del Modelo de Gobierno de Tecnologías de la Información y de los Datos del sector minero</w:t>
      </w:r>
      <w:r w:rsidR="64555D01">
        <w:noBreakHyphen/>
      </w:r>
      <w:r w:rsidRPr="24242B6F">
        <w:rPr>
          <w:rFonts w:eastAsia="Verdana" w:cs="Verdana"/>
        </w:rPr>
        <w:t>energético, el Ministerio de Minas y Energía ha avanzado en la consolidación de una visión estratégica que reconoce los datos como un activo público crítico y un habilitador transversal de la transformación digital sectorial. Esta resolución estableció las bases para una articulación institucional efectiva, el fortalecimiento de la arquitectura empresarial sectorial y la gestión estratégica de la información, orientadas a mejorar la toma de decisiones, la interoperabilidad y la eficiencia en la prestación de servicios.</w:t>
      </w:r>
    </w:p>
    <w:p w14:paraId="719548ED" w14:textId="38B69307" w:rsidR="64555D01" w:rsidRDefault="5F8DE42F" w:rsidP="24242B6F">
      <w:pPr>
        <w:spacing w:after="160" w:line="257" w:lineRule="auto"/>
        <w:rPr>
          <w:rFonts w:eastAsia="Verdana" w:cs="Verdana"/>
        </w:rPr>
      </w:pPr>
      <w:r w:rsidRPr="24242B6F">
        <w:rPr>
          <w:rFonts w:eastAsia="Verdana" w:cs="Verdana"/>
        </w:rPr>
        <w:t>Este proceso se encuentra alineado de manera directa con la Estrategia Nacional Digital de Colombia 2023–2026, particularmente con el Eje 2: “Acceso, uso y aprovechamiento de datos para impulsar la transformación social”, el cual promueve el uso de los datos como un insumo estratégico para la formulación de políticas públicas basadas en evidencia, la mejora de la gestión pública y la generación de valor económico y social. En este sentido, la Estrategia de Gestión y Gobierno de los Datos del sector minero</w:t>
      </w:r>
      <w:r w:rsidR="64555D01">
        <w:noBreakHyphen/>
      </w:r>
      <w:r w:rsidRPr="24242B6F">
        <w:rPr>
          <w:rFonts w:eastAsia="Verdana" w:cs="Verdana"/>
        </w:rPr>
        <w:t xml:space="preserve">energético contribuye al cierre de brechas en el uso y aprovechamiento de los datos dentro del sector, fortaleciendo su capacidad analítica, su interoperabilidad y su impacto en la toma de decisiones estratégicas, en coherencia con los objetivos definidos por la END. </w:t>
      </w:r>
    </w:p>
    <w:p w14:paraId="39F22986" w14:textId="29BDC982" w:rsidR="64555D01" w:rsidRDefault="5F8DE42F" w:rsidP="24242B6F">
      <w:pPr>
        <w:spacing w:after="160" w:line="257" w:lineRule="auto"/>
        <w:rPr>
          <w:rFonts w:eastAsia="Verdana" w:cs="Verdana"/>
        </w:rPr>
      </w:pPr>
      <w:r w:rsidRPr="24242B6F">
        <w:rPr>
          <w:rFonts w:eastAsia="Verdana" w:cs="Verdana"/>
        </w:rPr>
        <w:t xml:space="preserve">De manera complementaria, la estrategia se articula con el Plan Nacional de Infraestructura de Datos (PNID), entendiendo la Infraestructura de Datos del Estado Colombiano como el marco habilitador para la gestión integral del ciclo de vida del dato —desde su producción hasta su reutilización— bajo principios de calidad, interoperabilidad, seguridad, ética y reutilización. En este contexto, el Ministerio de Minas y Energía ha venido avanzando en la adopción de los lineamientos del PNID, fortaleciendo su gobernanza de datos, la definición de roles institucionales y la alineación de su hoja de ruta sectorial con los componentes estratégicos, operativos y habilitadores del Plan. </w:t>
      </w:r>
    </w:p>
    <w:p w14:paraId="1375B5FF" w14:textId="61A440F2" w:rsidR="64555D01" w:rsidRDefault="5F8DE42F" w:rsidP="24242B6F">
      <w:pPr>
        <w:spacing w:after="160" w:line="257" w:lineRule="auto"/>
        <w:rPr>
          <w:rFonts w:eastAsia="Verdana" w:cs="Verdana"/>
        </w:rPr>
      </w:pPr>
      <w:r w:rsidRPr="24242B6F">
        <w:rPr>
          <w:rFonts w:eastAsia="Verdana" w:cs="Verdana"/>
        </w:rPr>
        <w:t xml:space="preserve">En el marco de esta alineación, el Grupo de Tecnologías de la Información y las Comunicaciones (GTICS) ha liderado el fortalecimiento de la </w:t>
      </w:r>
      <w:r w:rsidRPr="24242B6F">
        <w:rPr>
          <w:rFonts w:eastAsia="Verdana" w:cs="Verdana"/>
          <w:b/>
          <w:bCs/>
        </w:rPr>
        <w:t>Estrategia de Gestión y Gobierno de los Datos</w:t>
      </w:r>
      <w:r w:rsidRPr="24242B6F">
        <w:rPr>
          <w:rFonts w:eastAsia="Verdana" w:cs="Verdana"/>
        </w:rPr>
        <w:t xml:space="preserve"> como eje estructurante de la transformación digital del sector minero</w:t>
      </w:r>
      <w:r w:rsidR="64555D01">
        <w:noBreakHyphen/>
      </w:r>
      <w:r w:rsidRPr="24242B6F">
        <w:rPr>
          <w:rFonts w:eastAsia="Verdana" w:cs="Verdana"/>
        </w:rPr>
        <w:t>energético. Para ello, se consolidó un equipo técnico especializado orientado a la planificación, producción, gestión, interoperabilidad, procesamiento, análisis y difusión de información estadística y geográfica, integrando capacidades avanzadas de analítica de datos, inteligencia artificial y tecnologías emergentes, en concordancia con los postulados de la END y el PNID sobre uso estratégico y soberano de los datos.</w:t>
      </w:r>
    </w:p>
    <w:p w14:paraId="3A0F3959" w14:textId="35595D0C" w:rsidR="64555D01" w:rsidRDefault="5F8DE42F" w:rsidP="24242B6F">
      <w:pPr>
        <w:spacing w:after="160" w:line="257" w:lineRule="auto"/>
        <w:rPr>
          <w:rFonts w:eastAsia="Verdana" w:cs="Verdana"/>
        </w:rPr>
      </w:pPr>
      <w:r w:rsidRPr="24242B6F">
        <w:rPr>
          <w:rFonts w:eastAsia="Verdana" w:cs="Verdana"/>
        </w:rPr>
        <w:t>La estrategia se operacionaliza mediante una hoja de ruta integral que articula la gobernanza, la planeación estratégica y la generación de valor público. En su dimensión de gobernanza, contempla la definición y actualización de políticas de datos, la alineación con los planes sectoriales de tecnología e infraestructura de datos (PETI y hoja de ruta sectorial del PNID), y la implementación de mecanismos que garantizan la calidad, estandarización e interoperabilidad de la información, contribuyendo a la consolidación de un ecosistema de datos sectorial alineado con la IDEC.</w:t>
      </w:r>
    </w:p>
    <w:p w14:paraId="42BC3A3C" w14:textId="3AE2FC79" w:rsidR="64555D01" w:rsidRDefault="5F8DE42F" w:rsidP="24242B6F">
      <w:pPr>
        <w:spacing w:after="160" w:line="257" w:lineRule="auto"/>
        <w:rPr>
          <w:rFonts w:eastAsia="Verdana" w:cs="Verdana"/>
        </w:rPr>
      </w:pPr>
      <w:r w:rsidRPr="24242B6F">
        <w:rPr>
          <w:rFonts w:eastAsia="Verdana" w:cs="Verdana"/>
        </w:rPr>
        <w:t xml:space="preserve">En cuanto a la generación de valor, la estrategia prioriza la transparencia, la veeduría ciudadana y el acceso a la información mediante datos abiertos, la disponibilidad de microdatos y servicios digitales interoperables, así como el fortalecimiento de capacidades institucionales en analítica avanzada, inteligencia artificial e innovación (I+D+i). Estos elementos permiten fortalecer la formulación de política pública, el monitoreo sectorial y la eficiencia institucional, y los propósitos del PNID de promover la reutilización y el aprovechamiento efectivo de los datos públicos. </w:t>
      </w:r>
    </w:p>
    <w:p w14:paraId="57CDDAF5" w14:textId="19FD65B2" w:rsidR="64555D01" w:rsidRDefault="5F8DE42F" w:rsidP="24242B6F">
      <w:pPr>
        <w:spacing w:after="160" w:line="257" w:lineRule="auto"/>
        <w:rPr>
          <w:rFonts w:eastAsia="Verdana" w:cs="Verdana"/>
        </w:rPr>
      </w:pPr>
      <w:r w:rsidRPr="24242B6F">
        <w:rPr>
          <w:rFonts w:eastAsia="Verdana" w:cs="Verdana"/>
        </w:rPr>
        <w:t>Los avances alcanzados tanto a nivel del Ministerio de Minas y Energía como del sector minero</w:t>
      </w:r>
      <w:r w:rsidR="64555D01">
        <w:noBreakHyphen/>
      </w:r>
      <w:r w:rsidRPr="24242B6F">
        <w:rPr>
          <w:rFonts w:eastAsia="Verdana" w:cs="Verdana"/>
        </w:rPr>
        <w:t xml:space="preserve">energético en su conjunto, reflejan progresos en la consolidación de capacidades de gobernanza, la articulación interinstitucional y el cumplimiento de compromisos sectoriales en materia de infraestructura y aprovechamiento de datos. Estos resultados confirman el rol estratégico del Ministerio como entidad cabeza de sector en la implementación de la política nacional de datos y en la habilitación de capacidades analíticas que soportan la toma de decisiones informadas y la generación de valor público para el país. </w:t>
      </w:r>
    </w:p>
    <w:p w14:paraId="76417E19" w14:textId="77A3A728" w:rsidR="64555D01" w:rsidRDefault="68A46649" w:rsidP="24242B6F">
      <w:pPr>
        <w:spacing w:after="160" w:line="257" w:lineRule="auto"/>
        <w:rPr>
          <w:rFonts w:eastAsia="Verdana" w:cs="Verdana"/>
        </w:rPr>
      </w:pPr>
      <w:r w:rsidRPr="44AD296D">
        <w:rPr>
          <w:rFonts w:eastAsia="Verdana" w:cs="Verdana"/>
        </w:rPr>
        <w:t>Bajo este enfoque estratégico a continuación se presentan los avances del componente de Gestión y Gobierno de los Datos para las vigencias 2025 y lo corrido de la vigencia 2026, destacando su contribución a la transformación digital, la interoperabilidad sectorial y la mejora continua de la gestión pública en el sector minero</w:t>
      </w:r>
      <w:r w:rsidR="5F8DE42F">
        <w:noBreakHyphen/>
      </w:r>
      <w:r w:rsidRPr="44AD296D">
        <w:rPr>
          <w:rFonts w:eastAsia="Verdana" w:cs="Verdana"/>
        </w:rPr>
        <w:t>energético.</w:t>
      </w:r>
    </w:p>
    <w:p w14:paraId="1373C671" w14:textId="6398331C" w:rsidR="64555D01" w:rsidRDefault="5F8DE42F" w:rsidP="24242B6F">
      <w:pPr>
        <w:spacing w:after="160" w:line="257" w:lineRule="auto"/>
        <w:rPr>
          <w:rFonts w:eastAsia="Verdana" w:cs="Verdana"/>
        </w:rPr>
      </w:pPr>
      <w:r w:rsidRPr="24242B6F">
        <w:rPr>
          <w:rFonts w:eastAsia="Verdana" w:cs="Verdana"/>
        </w:rPr>
        <w:t>En el marco del Gobierno de Tecnologías de la Información y Datos, se proyectó un nuevo marco normativo actualmente en proceso de revisión y consulta, orientado a actualizar la Resolución 40199 de 2021. Este nuevo instrumento avanza hacia un modelo de gobernanza de datos de alcance sectorial e institucional, que fortalece la toma de decisiones descentralizada, promueve la soberanía tecnológica y prioriza el uso preferente de software libre como habilitador de la independencia tecnológica del sector. De manera complementaria, se abordó la definición, aprobación y adopción de lineamientos institucionales para la gestión y el gobierno de los datos, materializados en nuevos procedimientos y artefactos normativos que consolidan una arquitectura de gobierno coherente, interoperable y alineada con los principios de la Infraestructura de Datos del Estado Colombiano.</w:t>
      </w:r>
    </w:p>
    <w:p w14:paraId="4EE7DD0E" w14:textId="5E459696" w:rsidR="64555D01" w:rsidRDefault="5F8DE42F" w:rsidP="24242B6F">
      <w:pPr>
        <w:spacing w:after="160" w:line="257" w:lineRule="auto"/>
        <w:rPr>
          <w:rFonts w:eastAsia="Verdana" w:cs="Verdana"/>
        </w:rPr>
      </w:pPr>
      <w:r w:rsidRPr="24242B6F">
        <w:rPr>
          <w:rFonts w:eastAsia="Verdana" w:cs="Verdana"/>
        </w:rPr>
        <w:t xml:space="preserve">Este fortalecimiento del marco de gobernanza posiciona los datos como un activo estratégico del sector, habilitando su uso seguro, ético y reutilizable para el diseño de políticas públicas, el seguimiento a la transición energética y la optimización de la gestión institucional, en coherencia con el enfoque de acceso, uso y aprovechamiento de datos. </w:t>
      </w:r>
    </w:p>
    <w:p w14:paraId="116E8EF6" w14:textId="01CC6815" w:rsidR="64555D01" w:rsidRDefault="5F8DE42F" w:rsidP="24242B6F">
      <w:pPr>
        <w:spacing w:after="160" w:line="257" w:lineRule="auto"/>
        <w:rPr>
          <w:rFonts w:eastAsia="Verdana" w:cs="Verdana"/>
        </w:rPr>
      </w:pPr>
      <w:r w:rsidRPr="24242B6F">
        <w:rPr>
          <w:rFonts w:eastAsia="Verdana" w:cs="Verdana"/>
        </w:rPr>
        <w:t>Frente al componente de planificación de la información, se consolidaron hitos determinantes para el ordenamiento estadístico del sector, actuando en estricta coherencia con las directrices del Departamento Administrativo Nacional de Estadística (DANE). Durante este periodo, se formalizó la Secretaría Técnica de la Mesa Estadística Sectorial y se amplió su representatividad con la inclusión de nuevos actores estratégicos como el Fondo de Energías No Convencionales y Gestión Eficiente de la Energía. Adicionalmente, se logró mapear un ecosistema conformado por más de ochenta (80) entidades productoras y consumidoras de datos, lo que permitió avanzar en la caracterización integral de los registros administrativos con potencial estadístico. Este ejercicio de caracterización aportó insumos clave para la planificación estratégica basada en datos, al identificar treinta y seis (36) requerimientos críticos de información estratégica, indispensables para responder a las demandas de la transición energética y facilitar el seguimiento riguroso a las políticas públicas del sector. Así, la planificación estadística se consolida como un componente esencial para la interoperabilidad sectorial y la generación de evidencia confiable para la toma de decisiones de alto nivel.</w:t>
      </w:r>
    </w:p>
    <w:p w14:paraId="25EFD6E8" w14:textId="41A471B9" w:rsidR="64555D01" w:rsidRDefault="5F8DE42F" w:rsidP="24242B6F">
      <w:pPr>
        <w:spacing w:after="160" w:line="257" w:lineRule="auto"/>
        <w:rPr>
          <w:rFonts w:eastAsia="Verdana" w:cs="Verdana"/>
        </w:rPr>
      </w:pPr>
      <w:r w:rsidRPr="24242B6F">
        <w:rPr>
          <w:rFonts w:eastAsia="Verdana" w:cs="Verdana"/>
        </w:rPr>
        <w:t>En relación con la Infraestructura de Datos Estadísticos del Sector – INTÉGRAME, se registró un notable nivel de interacción ciudadana, con aproximadamente 22.800 visitas y la consulta activa por parte de 6.300 usuarios únicos a lo largo del segundo semestre de 2025, reflejando un avance significativo en acceso y uso de la información sectorial. A nivel de integración, se implementaron nuevos casos de uso automatizados para centralizar información sobre comunidades y municipios energéticos, avances operativos del Plan 6GW y proyectos asociados al Plan Nacional de Electrificación Rural.</w:t>
      </w:r>
    </w:p>
    <w:p w14:paraId="6CFA8FD1" w14:textId="4F60E352" w:rsidR="64555D01" w:rsidRDefault="5F8DE42F" w:rsidP="24242B6F">
      <w:pPr>
        <w:spacing w:after="160" w:line="257" w:lineRule="auto"/>
        <w:rPr>
          <w:rFonts w:eastAsia="Verdana" w:cs="Verdana"/>
        </w:rPr>
      </w:pPr>
      <w:r w:rsidRPr="24242B6F">
        <w:rPr>
          <w:rFonts w:eastAsia="Verdana" w:cs="Verdana"/>
        </w:rPr>
        <w:t>Para respaldar la confiabilidad de estos insumos, la entidad implementó un Sistema de Aseguramiento de la Calidad de Datos (SACD), que estandarizó la detección sistemática de inconsistencias desde el origen y fortaleció la confianza institucional en los datos utilizados para análisis y reporte. Desde el componente analítico, se actualizaron buses dimensionales y se construyeron nuevos tableros estratégicos enfocados en variables clave como embalses, declaraciones de gases e indicadores institucionales, consolidando a INTÉGRAME como una plataforma crítica para la analítica descriptiva y estratégica del sector.</w:t>
      </w:r>
    </w:p>
    <w:p w14:paraId="08393DB7" w14:textId="6822CDED" w:rsidR="64555D01" w:rsidRDefault="5F8DE42F" w:rsidP="24242B6F">
      <w:pPr>
        <w:spacing w:after="160" w:line="257" w:lineRule="auto"/>
        <w:rPr>
          <w:rFonts w:eastAsia="Verdana" w:cs="Verdana"/>
        </w:rPr>
      </w:pPr>
      <w:r w:rsidRPr="24242B6F">
        <w:rPr>
          <w:rFonts w:eastAsia="Verdana" w:cs="Verdana"/>
        </w:rPr>
        <w:t>En cuanto a la Infraestructura de Datos Espaciales – IDE</w:t>
      </w:r>
      <w:r w:rsidR="64555D01">
        <w:noBreakHyphen/>
      </w:r>
      <w:r w:rsidRPr="24242B6F">
        <w:rPr>
          <w:rFonts w:eastAsia="Verdana" w:cs="Verdana"/>
        </w:rPr>
        <w:t>ME, los avances se centraron en el fortalecimiento tecnológico mediante el despliegue de geoservicios sobre una versión actualizada de GeoServer, alineando la plataforma con estándares modernos de interoperabilidad geoespacial. Se enriqueció la base de datos corporativa geográfica mediante la incorporación de capas estratégicas relacionadas con el Índice de Pobreza Energética Multidimensional, con énfasis en resguardos indígenas y consejos comunitarios, lo cual se materializó en la publicación de un visor interactivo tipo StoryMap orientado a la visualización y análisis territorial.</w:t>
      </w:r>
    </w:p>
    <w:p w14:paraId="14F10A45" w14:textId="54996D98" w:rsidR="64555D01" w:rsidRDefault="5F8DE42F" w:rsidP="24242B6F">
      <w:pPr>
        <w:spacing w:after="160" w:line="257" w:lineRule="auto"/>
        <w:rPr>
          <w:rFonts w:eastAsia="Verdana" w:cs="Verdana"/>
        </w:rPr>
      </w:pPr>
      <w:r w:rsidRPr="24242B6F">
        <w:rPr>
          <w:rFonts w:eastAsia="Verdana" w:cs="Verdana"/>
        </w:rPr>
        <w:t>Con el fin de garantizar la calidad y confiabilidad de estos datos espaciales, se formuló una matriz especializada para evaluar la calidad funcional de la información geográfica institucional. Paralelamente, se desplegó una agenda intensiva de gestión del conocimiento y apropiación, mediante talleres presenciales y virtuales dirigidos a universidades, entidades reguladoras y actores territoriales, fortaleciendo el uso efectivo de los datos geoespaciales en procesos de planeación y toma de decisiones.</w:t>
      </w:r>
    </w:p>
    <w:p w14:paraId="1997BF67" w14:textId="1E8391B2" w:rsidR="64555D01" w:rsidRDefault="5F8DE42F" w:rsidP="24242B6F">
      <w:pPr>
        <w:spacing w:after="160" w:line="257" w:lineRule="auto"/>
        <w:rPr>
          <w:rFonts w:eastAsia="Verdana" w:cs="Verdana"/>
        </w:rPr>
      </w:pPr>
      <w:r w:rsidRPr="24242B6F">
        <w:rPr>
          <w:rFonts w:eastAsia="Verdana" w:cs="Verdana"/>
        </w:rPr>
        <w:t>En el frente de Estudios Estratégicos, los esfuerzos institucionales se orientaron a consolidar una base metodológica robusta para la exploración y análisis de datos sectoriales. Se estructuró una Matriz de Estandarización Metodológica que permite ordenar los procesos analíticos, asegurar su trazabilidad y mejorar la reproducibilidad de los productos generados. Bajo este marco, se priorizó el análisis prospectivo del sector de hidrocarburos, logrando avances sustanciales bajo un enfoque iterativo y basado en evidencia. De manera adicional, el fortalecimiento del talento humano se reflejó en la participación en mesas interinstitucionales para la medición de la pobreza energética y en el desarrollo de boletines exploratorios innovadores, diseñados bajo formatos escalables que facilitan su reutilización y actualización permanente como insumos estratégicos.</w:t>
      </w:r>
    </w:p>
    <w:p w14:paraId="076931BB" w14:textId="1586AFB6" w:rsidR="64555D01" w:rsidRDefault="5F8DE42F" w:rsidP="24242B6F">
      <w:pPr>
        <w:spacing w:after="160" w:line="257" w:lineRule="auto"/>
        <w:rPr>
          <w:rFonts w:eastAsia="Verdana" w:cs="Verdana"/>
        </w:rPr>
      </w:pPr>
      <w:r w:rsidRPr="24242B6F">
        <w:rPr>
          <w:rFonts w:eastAsia="Verdana" w:cs="Verdana"/>
        </w:rPr>
        <w:t>Finalmente, la estrategia de Uso y Apropiación de Datos alcanzó un nivel destacado de madurez, permitiendo la ejecución exitosa de un plan de capacitación especializado en tecnologías emergentes. Se impartieron cursos en Internet de las Cosas, Ciencia de Datos, Redes Inteligentes y Agentes Inteligentes a 439 participantes del sector, con un índice de satisfacción del noventa y seis por ciento (96%), fortaleciendo las capacidades institucionales para el aprovechamiento avanzado de los datos.</w:t>
      </w:r>
    </w:p>
    <w:p w14:paraId="59B39C45" w14:textId="594EAE48" w:rsidR="64555D01" w:rsidRDefault="68A46649" w:rsidP="24242B6F">
      <w:pPr>
        <w:spacing w:after="160" w:line="257" w:lineRule="auto"/>
        <w:rPr>
          <w:rFonts w:eastAsia="Verdana" w:cs="Verdana"/>
        </w:rPr>
      </w:pPr>
      <w:r w:rsidRPr="44AD296D">
        <w:rPr>
          <w:rFonts w:eastAsia="Verdana" w:cs="Verdana"/>
        </w:rPr>
        <w:t>Un hito relevante fue la realización de la Hackathon Desafío Inteligente, una iniciativa de innovación abierta que articuló academia, sector público y talento digital. De los treinta y cuatro (34) equipos participantes iniciales, doce equipos finalistas desarrollaron prototipos funcionales a partir de datos abiertos, enfocados en democratizar el acceso a energía solar comunitaria, analizar la resiliencia hídrica de los embalses y optimizar el sistema interconectado nacional, evidenciando el potencial de la Estrategia de Datos como catalizador de innovación pública y generación de valor para el sector y la ciudadanía.</w:t>
      </w:r>
    </w:p>
    <w:p w14:paraId="210E66E0" w14:textId="4F463591" w:rsidR="64555D01" w:rsidRDefault="64555D01" w:rsidP="77689C34">
      <w:pPr>
        <w:spacing w:after="0"/>
        <w:rPr>
          <w:rFonts w:eastAsia="Verdana" w:cs="Verdana"/>
        </w:rPr>
      </w:pPr>
      <w:r w:rsidRPr="3637132E">
        <w:rPr>
          <w:rFonts w:eastAsia="Verdana" w:cs="Verdana"/>
        </w:rPr>
        <w:t xml:space="preserve">Frente a la implementación del Modelo de Gobierno de Tecnologías de la Información y de Datos, la gestión estratégica se centró en la evaluación y alineación del ecosistema de información sectorial frente a las directrices del Departamento Nacional de Planeación y los marcos de ética estadística, consolidando una visión integral del dato como activo público estratégico. Este esfuerzo estructural permitió establecer matrices formales de priorización orientadas a maximizar el valor público de los datos, desarrollar directrices éticas pioneras para la adopción responsable de Inteligencia Artificial y formular los primeros indicadores de gestión institucional basados en estándares internacionales como DAMA, avanzando en la madurez de la gestión de datos del Ministerio. </w:t>
      </w:r>
    </w:p>
    <w:p w14:paraId="5B53D284" w14:textId="7983CE15" w:rsidR="64555D01" w:rsidRDefault="64555D01" w:rsidP="77689C34">
      <w:pPr>
        <w:spacing w:after="0"/>
        <w:rPr>
          <w:rFonts w:eastAsia="Verdana" w:cs="Verdana"/>
        </w:rPr>
      </w:pPr>
      <w:r w:rsidRPr="3637132E">
        <w:rPr>
          <w:rFonts w:eastAsia="Verdana" w:cs="Verdana"/>
        </w:rPr>
        <w:t xml:space="preserve"> </w:t>
      </w:r>
    </w:p>
    <w:p w14:paraId="78C43F1D" w14:textId="329E74AC" w:rsidR="64555D01" w:rsidRDefault="64555D01" w:rsidP="77689C34">
      <w:pPr>
        <w:spacing w:after="0"/>
        <w:rPr>
          <w:rFonts w:eastAsia="Verdana" w:cs="Verdana"/>
        </w:rPr>
      </w:pPr>
      <w:r w:rsidRPr="3637132E">
        <w:rPr>
          <w:rFonts w:eastAsia="Verdana" w:cs="Verdana"/>
        </w:rPr>
        <w:t>Como resultado de este proceso, se definió un modelo piloto de gobernanza de datos, concebido no solo como un instrumento de control, sino como un mecanismo habilitador para la toma de decisiones basada en evidencia, la interoperabilidad sectorial y la medición sistemática del desempeño institucional en materia de datos. Este modelo sienta las bases para operacionalizar la gobernanza de los datos en el largo plazo, fortaleciendo la autonomía institucional, la rendición de cuentas y la sostenibilidad de la transformación digital del sector.</w:t>
      </w:r>
    </w:p>
    <w:p w14:paraId="795D1519" w14:textId="1CB82462" w:rsidR="64555D01" w:rsidRDefault="64555D01" w:rsidP="77689C34">
      <w:pPr>
        <w:spacing w:after="0"/>
        <w:rPr>
          <w:rFonts w:eastAsia="Verdana" w:cs="Verdana"/>
        </w:rPr>
      </w:pPr>
      <w:r w:rsidRPr="3637132E">
        <w:rPr>
          <w:rFonts w:eastAsia="Verdana" w:cs="Verdana"/>
        </w:rPr>
        <w:t xml:space="preserve"> </w:t>
      </w:r>
    </w:p>
    <w:p w14:paraId="5964A48B" w14:textId="086B99D7" w:rsidR="64555D01" w:rsidRDefault="64555D01" w:rsidP="77689C34">
      <w:pPr>
        <w:spacing w:after="0"/>
        <w:rPr>
          <w:rFonts w:eastAsia="Verdana" w:cs="Verdana"/>
        </w:rPr>
      </w:pPr>
      <w:r w:rsidRPr="3637132E">
        <w:rPr>
          <w:rFonts w:eastAsia="Verdana" w:cs="Verdana"/>
        </w:rPr>
        <w:t>La Infraestructura de Datos Estadísticos del Sector – INTÉGRAME enfocó sus esfuerzos en la centralización y soberanía de la infraestructura tecnológica, ejecutando procesos de migración y unificación de entornos que reducen dependencias externas y aumentan la resiliencia operativa. Este proceso permitió consolidar un entorno analítico más robusto, alineado con los principios de seguridad, estandarización e interoperabilidad definidos por la política nacional de datos. De igual forma, se logró el despliegue de herramientas analíticas de alto impacto gerencial, habilitando el monitoreo basado en evidencia sobre las declaraciones de gas y las dinámicas de movilización social en el sector. Estas capacidades fortalecen el rol de INTÉGRAME como plataforma estratégica de análisis y seguimiento sectorial, facilitando la detección temprana de riesgos, la evaluación de políticas públicas y el soporte técnico a instancias de alto nivel decisorio.</w:t>
      </w:r>
    </w:p>
    <w:p w14:paraId="5BD6F341" w14:textId="72B53B41" w:rsidR="64555D01" w:rsidRDefault="64555D01" w:rsidP="77689C34">
      <w:pPr>
        <w:spacing w:after="0"/>
        <w:rPr>
          <w:rFonts w:eastAsia="Verdana" w:cs="Verdana"/>
        </w:rPr>
      </w:pPr>
      <w:r w:rsidRPr="3637132E">
        <w:rPr>
          <w:rFonts w:eastAsia="Verdana" w:cs="Verdana"/>
        </w:rPr>
        <w:t xml:space="preserve"> </w:t>
      </w:r>
    </w:p>
    <w:p w14:paraId="1B79D88C" w14:textId="538D1B73" w:rsidR="64555D01" w:rsidRDefault="64555D01" w:rsidP="77689C34">
      <w:pPr>
        <w:spacing w:after="0"/>
        <w:rPr>
          <w:rFonts w:eastAsia="Verdana" w:cs="Verdana"/>
        </w:rPr>
      </w:pPr>
      <w:r w:rsidRPr="3637132E">
        <w:rPr>
          <w:rFonts w:eastAsia="Verdana" w:cs="Verdana"/>
        </w:rPr>
        <w:t>Simultáneamente, la consolidación de la Infraestructura de Datos Espaciales (IDE</w:t>
      </w:r>
      <w:r>
        <w:noBreakHyphen/>
      </w:r>
      <w:r w:rsidRPr="3637132E">
        <w:rPr>
          <w:rFonts w:eastAsia="Verdana" w:cs="Verdana"/>
        </w:rPr>
        <w:t xml:space="preserve">ME) focalizó sus esfuerzos en la planeación territorial de largo plazo y la estandarización de sus recursos, reconociendo el valor estratégico de la información geoespacial para la transición energética, la equidad territorial y la gestión sostenible del territorio. El avance más significativo de este componente fue la formulación de la Matriz Operativa de Priorización de Datos Geoespaciales y la estructuración del catálogo de objetos para la conformación de la Base de Datos Corporativa, garantizando que la información espacial responda directamente a las necesidades críticas del sector. </w:t>
      </w:r>
    </w:p>
    <w:p w14:paraId="038E04FE" w14:textId="45EB3C5A" w:rsidR="64555D01" w:rsidRDefault="64555D01" w:rsidP="77689C34">
      <w:pPr>
        <w:spacing w:after="0"/>
        <w:rPr>
          <w:rFonts w:eastAsia="Verdana" w:cs="Verdana"/>
        </w:rPr>
      </w:pPr>
      <w:r w:rsidRPr="3637132E">
        <w:rPr>
          <w:rFonts w:eastAsia="Verdana" w:cs="Verdana"/>
        </w:rPr>
        <w:t xml:space="preserve"> </w:t>
      </w:r>
    </w:p>
    <w:p w14:paraId="7CC180EC" w14:textId="50183643" w:rsidR="64555D01" w:rsidRDefault="64555D01" w:rsidP="77689C34">
      <w:pPr>
        <w:spacing w:after="0"/>
        <w:rPr>
          <w:rFonts w:eastAsia="Verdana" w:cs="Verdana"/>
        </w:rPr>
      </w:pPr>
      <w:r w:rsidRPr="3637132E">
        <w:rPr>
          <w:rFonts w:eastAsia="Verdana" w:cs="Verdana"/>
        </w:rPr>
        <w:t>Este ordenamiento interno se proyectó a nivel macro mediante la consolidación y concertación del Plan Operativo Sectorial 2026, un instrumento de política pública construido en estricta sinergia con la Infraestructura Colombiana de Datos Espaciales (ICDE). Con ello, se aseguró una visión unificada y articulada de la geografía minero</w:t>
      </w:r>
      <w:r>
        <w:noBreakHyphen/>
      </w:r>
      <w:r w:rsidRPr="3637132E">
        <w:rPr>
          <w:rFonts w:eastAsia="Verdana" w:cs="Verdana"/>
        </w:rPr>
        <w:t>energética nacional, fortaleciendo la interoperabilidad interinstitucional y la coherencia entre la planeación sectorial y las apuestas nacionales en materia de datos espaciales.</w:t>
      </w:r>
    </w:p>
    <w:p w14:paraId="3F9FC1AC" w14:textId="53F6EF5C" w:rsidR="64555D01" w:rsidRDefault="64555D01" w:rsidP="77689C34">
      <w:pPr>
        <w:spacing w:after="0"/>
        <w:rPr>
          <w:rFonts w:eastAsia="Verdana" w:cs="Verdana"/>
        </w:rPr>
      </w:pPr>
      <w:r w:rsidRPr="3637132E">
        <w:rPr>
          <w:rFonts w:eastAsia="Verdana" w:cs="Verdana"/>
        </w:rPr>
        <w:t xml:space="preserve"> </w:t>
      </w:r>
    </w:p>
    <w:p w14:paraId="1BD45159" w14:textId="2AE8C595" w:rsidR="64555D01" w:rsidRDefault="64555D01" w:rsidP="77689C34">
      <w:pPr>
        <w:spacing w:after="0"/>
        <w:rPr>
          <w:rFonts w:eastAsia="Verdana" w:cs="Verdana"/>
        </w:rPr>
      </w:pPr>
      <w:r w:rsidRPr="3637132E">
        <w:rPr>
          <w:rFonts w:eastAsia="Verdana" w:cs="Verdana"/>
        </w:rPr>
        <w:t>Finalmente, la iniciativa orientada a la Generación de Información y Estudios Estratégicos elevó de manera sustantiva el rigor técnico de sus investigaciones mediante la adopción transversal del estándar metodológico CRISP</w:t>
      </w:r>
      <w:r>
        <w:noBreakHyphen/>
      </w:r>
      <w:r w:rsidRPr="3637132E">
        <w:rPr>
          <w:rFonts w:eastAsia="Verdana" w:cs="Verdana"/>
        </w:rPr>
        <w:t>DM, estableciendo una hoja de ruta clara para la convergencia analítica entre las infraestructuras de datos estadísticas y espaciales. Esta madurez metodológica permitió estructurar análisis de alta complejidad y relevancia para la seguridad y la transición energética del país. Entre los desarrollos más destacados se encuentran la evaluación crítica de la brecha entre el gas fiscalizado y el declarado, el modelamiento de eventos de demanda no atendida frente a la actuación del esquema de desconexión y el análisis del impacto de los índices hídricos macroclimáticos. Estos ejercicios prospectivos se complementaron con el diseño de un plan institucional de transferencia de conocimiento, orientado a consolidar capacidades avanzadas en ciencia de datos y aprendizaje automático dentro del talento humano del Ministerio, garantizando la sostenibilidad técnica y el escalamiento futuro de la analítica sectorial.</w:t>
      </w:r>
    </w:p>
    <w:p w14:paraId="4FDB4B34" w14:textId="6A7FDA55" w:rsidR="64555D01" w:rsidRDefault="64555D01" w:rsidP="77689C34">
      <w:pPr>
        <w:spacing w:after="0"/>
        <w:rPr>
          <w:rFonts w:eastAsia="Verdana" w:cs="Verdana"/>
          <w:b/>
        </w:rPr>
      </w:pPr>
      <w:r w:rsidRPr="3637132E">
        <w:rPr>
          <w:rFonts w:eastAsia="Verdana" w:cs="Verdana"/>
          <w:b/>
        </w:rPr>
        <w:t xml:space="preserve"> </w:t>
      </w:r>
    </w:p>
    <w:p w14:paraId="266A2114" w14:textId="0EA3BA64" w:rsidR="64555D01" w:rsidRDefault="64555D01" w:rsidP="77689C34">
      <w:pPr>
        <w:spacing w:after="160" w:line="257" w:lineRule="auto"/>
        <w:rPr>
          <w:rFonts w:eastAsia="Verdana" w:cs="Verdana"/>
        </w:rPr>
      </w:pPr>
      <w:r w:rsidRPr="3637132E">
        <w:rPr>
          <w:rFonts w:eastAsia="Verdana" w:cs="Verdana"/>
        </w:rPr>
        <w:t>En su conjunto, los avances alcanzados evidencian que la Estrategia de Gestión y Gobierno de los Datos se ha consolidado como una capacidad estructural del sector minero</w:t>
      </w:r>
      <w:r>
        <w:noBreakHyphen/>
      </w:r>
      <w:r w:rsidRPr="3637132E">
        <w:rPr>
          <w:rFonts w:eastAsia="Verdana" w:cs="Verdana"/>
        </w:rPr>
        <w:t>energético, constituyéndose en un pilar estratégico para la transformación digital del Estado y la modernización de la gestión pública sectorial. Esta estrategia trasciende la dimensión técnica</w:t>
      </w:r>
      <w:r>
        <w:noBreakHyphen/>
      </w:r>
      <w:r w:rsidRPr="3637132E">
        <w:rPr>
          <w:rFonts w:eastAsia="Verdana" w:cs="Verdana"/>
        </w:rPr>
        <w:t>operativa al establecer un marco integral de gobernanza, arquitectura e interoperabilidad que reconoce los datos como activos públicos estratégicos, indispensables para la formulación de políticas basadas en evidencia, la planeación de largo plazo y el monitoreo efectivo de intervenciones en contextos de alta incertidumbre y complejidad.</w:t>
      </w:r>
    </w:p>
    <w:p w14:paraId="6CAF351D" w14:textId="67012BB7" w:rsidR="64555D01" w:rsidRDefault="64555D01" w:rsidP="77689C34">
      <w:pPr>
        <w:spacing w:after="160" w:line="257" w:lineRule="auto"/>
        <w:rPr>
          <w:rFonts w:eastAsia="Verdana" w:cs="Verdana"/>
        </w:rPr>
      </w:pPr>
      <w:r w:rsidRPr="3637132E">
        <w:rPr>
          <w:rFonts w:eastAsia="Verdana" w:cs="Verdana"/>
        </w:rPr>
        <w:t>Desde una perspectiva de política pública, la Estrategia habilita un modelo de toma de decisiones informadas, anticipatorias y trazables, al asegurar la disponibilidad, calidad, integración y reutilización de datos estadísticos, geoespaciales y analíticos a lo largo de todo el ciclo de las políticas del sector. Esto fortalece la capacidad del Estado para evaluar impactos, gestionar riesgos estratégicos —como aquellos asociados a la seguridad energética, la transición justa y el ordenamiento territorial— y optimizar el uso de los recursos públicos, alineando la acción sectorial con los objetivos del desarrollo sostenible y las prioridades del Plan Nacional de Desarrollo.</w:t>
      </w:r>
    </w:p>
    <w:p w14:paraId="2E3A823F" w14:textId="18AC8365" w:rsidR="64555D01" w:rsidRDefault="64555D01" w:rsidP="77689C34">
      <w:pPr>
        <w:spacing w:after="160" w:line="257" w:lineRule="auto"/>
        <w:rPr>
          <w:rFonts w:eastAsia="Verdana" w:cs="Verdana"/>
        </w:rPr>
      </w:pPr>
      <w:r w:rsidRPr="3637132E">
        <w:rPr>
          <w:rFonts w:eastAsia="Verdana" w:cs="Verdana"/>
        </w:rPr>
        <w:t>Asimismo, la Estrategia de Gestión y Gobierno de los Datos actúa como mecanismo habilitador de la articulación interinstitucional y la interoperabilidad, al establecer estándares comunes, modelos de referencia y esquemas de gobernanza que integran las capacidades del Ministerio, sus entidades adscritas y los ecosistemas nacionales de datos. Este enfoque sistémico contribuye a reducir la fragmentación de la información, fortalecer la coherencia de la acción pública y consolidar una visión sectorial unificada, en consonancia con las apuestas nacionales en materia de infraestructura de datos, soberanía tecnológica y transformación digital del Estado.</w:t>
      </w:r>
    </w:p>
    <w:p w14:paraId="42767846" w14:textId="26FC027F" w:rsidR="64555D01" w:rsidRDefault="64555D01" w:rsidP="77689C34">
      <w:pPr>
        <w:spacing w:after="160" w:line="257" w:lineRule="auto"/>
        <w:rPr>
          <w:rFonts w:eastAsia="Verdana" w:cs="Verdana"/>
        </w:rPr>
      </w:pPr>
      <w:r w:rsidRPr="3637132E">
        <w:rPr>
          <w:rFonts w:eastAsia="Verdana" w:cs="Verdana"/>
        </w:rPr>
        <w:t>Finalmente, la estrategia sienta las bases para el desarrollo de capacidades avanzadas y sostenibles en analítica de datos, inteligencia artificial y gestión del conocimiento, garantizando que el sector minero</w:t>
      </w:r>
      <w:r>
        <w:noBreakHyphen/>
      </w:r>
      <w:r w:rsidRPr="3637132E">
        <w:rPr>
          <w:rFonts w:eastAsia="Verdana" w:cs="Verdana"/>
        </w:rPr>
        <w:t>energético no solo responda a las demandas actuales, sino que fortalezca su resiliencia institucional y su capacidad prospectiva. En este sentido, la Estrategia de Datos se configura como un instrumento orientado a generar valor público, confianza ciudadana y legitimidad institucional a partir del uso ético, responsable y soberano de los datos, y a posicionar al sector minero</w:t>
      </w:r>
      <w:r>
        <w:noBreakHyphen/>
      </w:r>
      <w:r w:rsidRPr="3637132E">
        <w:rPr>
          <w:rFonts w:eastAsia="Verdana" w:cs="Verdana"/>
        </w:rPr>
        <w:t>energético como un referente en la adopción estratégica del dato para el desarrollo del país.</w:t>
      </w:r>
    </w:p>
    <w:p w14:paraId="4ED1259C" w14:textId="4580BABA" w:rsidR="3708033A" w:rsidRDefault="3708033A" w:rsidP="3708033A">
      <w:pPr>
        <w:rPr>
          <w:rFonts w:eastAsia="Verdana" w:cs="Verdana"/>
        </w:rPr>
      </w:pPr>
    </w:p>
    <w:p w14:paraId="1BEECCEB" w14:textId="71A94597" w:rsidR="3EFC8584" w:rsidRDefault="42C9FDC1" w:rsidP="1D41F406">
      <w:pPr>
        <w:rPr>
          <w:rFonts w:eastAsia="Verdana" w:cs="Verdana"/>
          <w:b/>
        </w:rPr>
      </w:pPr>
      <w:commentRangeStart w:id="30"/>
      <w:commentRangeStart w:id="31"/>
      <w:r w:rsidRPr="3637132E">
        <w:rPr>
          <w:rFonts w:eastAsia="Verdana" w:cs="Verdana"/>
          <w:b/>
        </w:rPr>
        <w:t>Infraestructura y continuidad del negocio</w:t>
      </w:r>
      <w:commentRangeEnd w:id="31"/>
      <w:r>
        <w:rPr>
          <w:rStyle w:val="CommentReference"/>
          <w:rFonts w:eastAsia="Verdana" w:cs="Verdana"/>
          <w:b/>
          <w:sz w:val="22"/>
          <w:szCs w:val="22"/>
        </w:rPr>
        <w:commentReference w:id="31"/>
      </w:r>
      <w:commentRangeEnd w:id="30"/>
      <w:r>
        <w:rPr>
          <w:rStyle w:val="CommentReference"/>
          <w:rFonts w:eastAsia="Verdana" w:cs="Verdana"/>
          <w:b/>
          <w:sz w:val="22"/>
          <w:szCs w:val="22"/>
        </w:rPr>
        <w:commentReference w:id="30"/>
      </w:r>
    </w:p>
    <w:p w14:paraId="25B2FA0D" w14:textId="068CDB8A" w:rsidR="103606CC" w:rsidRDefault="041F76F2" w:rsidP="03C96163">
      <w:pPr>
        <w:spacing w:before="240" w:after="240"/>
      </w:pPr>
      <w:r w:rsidRPr="4C82AB77">
        <w:rPr>
          <w:rFonts w:eastAsia="Verdana" w:cs="Verdana"/>
        </w:rPr>
        <w:t>El Centro de Monitoreo Sectorial</w:t>
      </w:r>
      <w:r w:rsidR="4F4EF999" w:rsidRPr="4C82AB77">
        <w:rPr>
          <w:rFonts w:eastAsia="Verdana" w:cs="Verdana"/>
        </w:rPr>
        <w:t xml:space="preserve"> – CMS </w:t>
      </w:r>
      <w:r w:rsidRPr="4C82AB77">
        <w:rPr>
          <w:rFonts w:eastAsia="Verdana" w:cs="Verdana"/>
        </w:rPr>
        <w:t>no es un proyecto tecnológico ordinario; es hoy la columna vertebral de la seguridad digital del sector. El sector minero-energético colombiano opera infraestructuras críticas cuya interrupción por causa de un ciberataque o una falla tecnológica no gestionada a tiempo puede traducirse en afectaciones directas a la prestación de servicios esenciales para millones de colombianos y en pérdidas económicas de magnitud nacional.</w:t>
      </w:r>
    </w:p>
    <w:p w14:paraId="3786C33C" w14:textId="3D812076" w:rsidR="103606CC" w:rsidRDefault="166EF5C4" w:rsidP="03C96163">
      <w:pPr>
        <w:spacing w:before="240" w:after="240"/>
      </w:pPr>
      <w:r w:rsidRPr="24242B6F">
        <w:rPr>
          <w:rFonts w:eastAsia="Verdana" w:cs="Verdana"/>
        </w:rPr>
        <w:t>El CMS cuenta con salas de monitoreo especializadas para la visualización y análisis en tiempo real de los datos críticos del sector, lo que permitirá a las autoridades sectoriales tomar decisiones estratégicas basadas en información centralizada, confiable y actualizada. Adicionalmente, dispone de un datacenter principal con infraestructura tecnológica de alta disponibilidad diseñada para soportar los sistemas de información críticos del sector, garantizando la continuidad operativa, la integridad de los datos y la interoperabilidad entre el Ministerio y sus entidades adscritas. Esta infraestructura constituye igualmente la plataforma habilitadora para el despliegue de modelos de inteligencia artificial aplicados a los retos misionales del sector, desde la detección temprana de anomalías operativas y la predicción de fallas en infraestructura crítica, hasta la automatización de alertas, el análisis de grandes volúmenes de datos sectoriales y el apoyo a la toma de decisiones basada en evidencia. En su Fase II, actualmente en ejecución, el CMS está habilitando el centro de datos alterno como herramienta de apalancamiento para las estrategias de recuperación ante desastres del sector.</w:t>
      </w:r>
    </w:p>
    <w:p w14:paraId="70C7FA83" w14:textId="2F8AD935" w:rsidR="103606CC" w:rsidRDefault="103606CC" w:rsidP="103606CC">
      <w:pPr>
        <w:rPr>
          <w:rFonts w:eastAsia="Verdana" w:cs="Verdana"/>
        </w:rPr>
      </w:pPr>
    </w:p>
    <w:p w14:paraId="21BB5BD4" w14:textId="4FC70FAE" w:rsidR="642B55D5" w:rsidRDefault="0F0A9E8A" w:rsidP="24242B6F">
      <w:pPr>
        <w:rPr>
          <w:b/>
          <w:bCs/>
        </w:rPr>
      </w:pPr>
      <w:commentRangeStart w:id="34"/>
      <w:r w:rsidRPr="24242B6F">
        <w:rPr>
          <w:b/>
          <w:bCs/>
        </w:rPr>
        <w:t>M</w:t>
      </w:r>
      <w:r w:rsidR="5D0AC2BD" w:rsidRPr="24242B6F">
        <w:rPr>
          <w:b/>
          <w:bCs/>
        </w:rPr>
        <w:t xml:space="preserve">arco de </w:t>
      </w:r>
      <w:r w:rsidRPr="24242B6F">
        <w:rPr>
          <w:b/>
          <w:bCs/>
        </w:rPr>
        <w:t>A</w:t>
      </w:r>
      <w:r w:rsidR="2B3D18D6" w:rsidRPr="24242B6F">
        <w:rPr>
          <w:b/>
          <w:bCs/>
        </w:rPr>
        <w:t xml:space="preserve">rquitectura </w:t>
      </w:r>
      <w:r w:rsidRPr="24242B6F">
        <w:rPr>
          <w:b/>
          <w:bCs/>
        </w:rPr>
        <w:t>E</w:t>
      </w:r>
      <w:r w:rsidR="14242739" w:rsidRPr="24242B6F">
        <w:rPr>
          <w:b/>
          <w:bCs/>
        </w:rPr>
        <w:t>mpresarial</w:t>
      </w:r>
      <w:commentRangeEnd w:id="34"/>
      <w:r w:rsidR="3EFC8584">
        <w:rPr>
          <w:rStyle w:val="CommentReference"/>
          <w:b/>
          <w:bCs/>
          <w:sz w:val="22"/>
          <w:szCs w:val="22"/>
        </w:rPr>
        <w:commentReference w:id="34"/>
      </w:r>
    </w:p>
    <w:p w14:paraId="719190BF" w14:textId="2079F8BF" w:rsidR="00381BA8" w:rsidRPr="00381BA8" w:rsidRDefault="00274CBA" w:rsidP="00381BA8">
      <w:r w:rsidRPr="00381BA8">
        <w:t xml:space="preserve">El Ministerio de Minas y Energía </w:t>
      </w:r>
      <w:r w:rsidR="00381BA8" w:rsidRPr="00381BA8">
        <w:t>consolidó avances estratégicos en la implementación del Modelo de Arquitectura Empresarial (MAE), posicionándolo como un habilitador clave de la transformación institucional. A través de la ejecución de ejercicios de arquitectura, articulados con los proyectos de TI, se fortaleció la alineación entre la estrategia, las capacidades de negocio y la tecnología, lo que permitió la consolidación y actualización del PETI 2025–2028 con un enfoque integral, priorizado y orientado a la generación de valor.</w:t>
      </w:r>
    </w:p>
    <w:p w14:paraId="7A133001" w14:textId="77777777" w:rsidR="002C20E9" w:rsidRPr="002C20E9" w:rsidRDefault="002C20E9" w:rsidP="002C20E9">
      <w:r w:rsidRPr="002C20E9">
        <w:t>En este contexto, el Ministerio cuenta con un equipo sólido de Arquitectura Empresarial, cuyas capacidades han sido clave para el fortalecimiento transversal de los dominios del MAE y para asegurar decisiones arquitectónicas coherentes, de alta calidad y sostenibles en el tiempo. Este avance ha permitido institucionalizar la práctica de Arquitectura Empresarial mediante la ejecución sistemática de ejercicios desde los distintos dominios, consolidándola como una capacidad estratégica que orienta y habilita las transformaciones requeridas para fortalecer la gestión institucional.</w:t>
      </w:r>
    </w:p>
    <w:p w14:paraId="4D2593DE" w14:textId="77777777" w:rsidR="002C20E9" w:rsidRPr="002C20E9" w:rsidRDefault="002C20E9" w:rsidP="002C20E9">
      <w:r w:rsidRPr="002C20E9">
        <w:t>Como resultado destacado, se consolidó la arquitectura de referencia del Ministerio, concebida como un modelo de alto nivel que estandariza el diseño e implementación de soluciones TI. Esta arquitectura impulsa la adopción de mejores prácticas, facilita la ejecución de iniciativas alineadas con la estrategia tecnológica, reduce la complejidad, acelera los ciclos de desarrollo, garantiza la consistencia y fortalece la interoperabilidad del ecosistema digital.</w:t>
      </w:r>
    </w:p>
    <w:p w14:paraId="6903617E" w14:textId="588F48D2" w:rsidR="002C20E9" w:rsidRPr="00EC2D74" w:rsidRDefault="5E71397B" w:rsidP="00381BA8">
      <w:r>
        <w:t>En conjunto, este fortalecimiento ha dinamizado la evolución de los artefactos arquitectónicos, mejorando de manera significativa la trazabilidad, la estandarización y la gobernanza.</w:t>
      </w:r>
    </w:p>
    <w:p w14:paraId="5AB43A46" w14:textId="671DAF1A" w:rsidR="3EFC8584" w:rsidRDefault="6EA45C71" w:rsidP="24242B6F">
      <w:pPr>
        <w:rPr>
          <w:b/>
          <w:bCs/>
        </w:rPr>
      </w:pPr>
      <w:commentRangeStart w:id="36"/>
      <w:r w:rsidRPr="24242B6F">
        <w:rPr>
          <w:b/>
          <w:bCs/>
        </w:rPr>
        <w:t>Modernización de la operación de TI</w:t>
      </w:r>
      <w:commentRangeEnd w:id="36"/>
      <w:r w:rsidR="0714614B">
        <w:rPr>
          <w:rStyle w:val="CommentReference"/>
          <w:b/>
          <w:bCs/>
          <w:sz w:val="22"/>
          <w:szCs w:val="22"/>
        </w:rPr>
        <w:commentReference w:id="36"/>
      </w:r>
    </w:p>
    <w:p w14:paraId="5A54BD9F" w14:textId="3FEFC58F" w:rsidR="0CA73B13" w:rsidRDefault="38F533B5" w:rsidP="24242B6F">
      <w:pPr>
        <w:rPr>
          <w:rFonts w:eastAsia="Verdana" w:cs="Verdana"/>
          <w:color w:val="000000" w:themeColor="text1"/>
        </w:rPr>
      </w:pPr>
      <w:r w:rsidRPr="24242B6F">
        <w:rPr>
          <w:rFonts w:eastAsia="Calibri"/>
          <w:color w:val="000000" w:themeColor="text1"/>
        </w:rPr>
        <w:t xml:space="preserve">El Ministerio de Minas y Energía ha logrado consolidar el Modelo de Gestión y Gobierno de TI </w:t>
      </w:r>
      <w:r w:rsidRPr="24242B6F">
        <w:rPr>
          <w:rFonts w:eastAsia="Calibri"/>
          <w:b/>
          <w:bCs/>
          <w:color w:val="000000" w:themeColor="text1"/>
        </w:rPr>
        <w:t>(MGGTI)</w:t>
      </w:r>
      <w:r w:rsidRPr="24242B6F">
        <w:rPr>
          <w:rFonts w:eastAsia="Calibri"/>
          <w:color w:val="000000" w:themeColor="text1"/>
        </w:rPr>
        <w:t xml:space="preserve"> mediante la institucionalización de la Arquitectura Empresarial para la transformación institucional. A través de ejercicios sistemáticos articulados con proyectos de tecnología, el MME fortaleció la alineación entre sus capacidades de negocio y la estrategia tecnológica, con un </w:t>
      </w:r>
      <w:r w:rsidRPr="24242B6F">
        <w:rPr>
          <w:rFonts w:eastAsia="Verdana" w:cs="Verdana"/>
          <w:color w:val="000000" w:themeColor="text1"/>
        </w:rPr>
        <w:t>enfoque orientado a la generación de valor</w:t>
      </w:r>
      <w:r w:rsidR="65BF4C3C" w:rsidRPr="24242B6F">
        <w:rPr>
          <w:rFonts w:eastAsia="Verdana" w:cs="Verdana"/>
          <w:color w:val="000000" w:themeColor="text1"/>
        </w:rPr>
        <w:t>.</w:t>
      </w:r>
    </w:p>
    <w:p w14:paraId="22E437EA" w14:textId="662A3150" w:rsidR="721B2A5F" w:rsidRDefault="3BDCAA7D" w:rsidP="24242B6F">
      <w:pPr>
        <w:rPr>
          <w:rFonts w:eastAsia="Verdana" w:cs="Verdana"/>
          <w:color w:val="000000" w:themeColor="text1"/>
        </w:rPr>
      </w:pPr>
      <w:r w:rsidRPr="1E98555B">
        <w:rPr>
          <w:rFonts w:eastAsia="Verdana" w:cs="Verdana"/>
          <w:color w:val="000000" w:themeColor="text1"/>
        </w:rPr>
        <w:t>En el marco de su proceso de modernización operativa, el Ministerio de Minas y Energía ha fortalecido su gestión tecnológica mediante una evolución significativa de su arquitectura de procesos. Mientras que para la vigencia 2025 el mapa de procesos interno contaba con 6 procedimientos misionales adoptados, el despliegue de la Arquitectura de Procesos Nivel 2 identificó la necesidad de una mayor estandarización. Como resultado, se formalizaron y adoptaron un total de 23 nuevos procedimientos</w:t>
      </w:r>
      <w:r w:rsidR="3E2D863F" w:rsidRPr="1E98555B">
        <w:rPr>
          <w:rFonts w:eastAsia="Verdana" w:cs="Verdana"/>
          <w:color w:val="000000" w:themeColor="text1"/>
        </w:rPr>
        <w:t xml:space="preserve"> a la fecha</w:t>
      </w:r>
      <w:r w:rsidRPr="1E98555B">
        <w:rPr>
          <w:rFonts w:eastAsia="Verdana" w:cs="Verdana"/>
          <w:color w:val="000000" w:themeColor="text1"/>
        </w:rPr>
        <w:t xml:space="preserve">, junto con sus respectivos formatos, en el </w:t>
      </w:r>
      <w:r w:rsidR="19669266" w:rsidRPr="1E98555B">
        <w:rPr>
          <w:rFonts w:eastAsia="Verdana" w:cs="Verdana"/>
          <w:color w:val="000000" w:themeColor="text1"/>
        </w:rPr>
        <w:t>Sistema Integrado de Gestión</w:t>
      </w:r>
      <w:r w:rsidRPr="1E98555B">
        <w:rPr>
          <w:rFonts w:eastAsia="Verdana" w:cs="Verdana"/>
          <w:color w:val="000000" w:themeColor="text1"/>
        </w:rPr>
        <w:t>. Estos instrumentos, organizados bajo un enfoque por Asunto de Gestión, permiten una identificación precisa de productos y servicios, optimizando la gobernanza de TI tanto para el Ministerio como para el sector.</w:t>
      </w:r>
    </w:p>
    <w:p w14:paraId="5788A4BE" w14:textId="53F2A4FF" w:rsidR="1C83133E" w:rsidRDefault="35218EAB" w:rsidP="2B0A867C">
      <w:pPr>
        <w:rPr>
          <w:rFonts w:eastAsia="Calibri"/>
          <w:color w:val="000000" w:themeColor="text1"/>
        </w:rPr>
      </w:pPr>
      <w:r w:rsidRPr="24242B6F">
        <w:rPr>
          <w:rFonts w:eastAsia="Verdana" w:cs="Verdana"/>
          <w:color w:val="000000" w:themeColor="text1"/>
        </w:rPr>
        <w:t>Esto ha sido un</w:t>
      </w:r>
      <w:r w:rsidR="65BF4C3C" w:rsidRPr="24242B6F">
        <w:rPr>
          <w:rFonts w:eastAsia="Verdana" w:cs="Verdana"/>
          <w:color w:val="000000" w:themeColor="text1"/>
        </w:rPr>
        <w:t xml:space="preserve"> avance determinante </w:t>
      </w:r>
      <w:r w:rsidR="092CB8F7" w:rsidRPr="24242B6F">
        <w:rPr>
          <w:rFonts w:eastAsia="Verdana" w:cs="Verdana"/>
          <w:color w:val="000000" w:themeColor="text1"/>
        </w:rPr>
        <w:t>para la</w:t>
      </w:r>
      <w:r w:rsidR="65BF4C3C" w:rsidRPr="24242B6F">
        <w:rPr>
          <w:rFonts w:eastAsia="Verdana" w:cs="Verdana"/>
          <w:color w:val="000000" w:themeColor="text1"/>
        </w:rPr>
        <w:t xml:space="preserve"> arquitectura de referencia que estandariza el diseño de soluciones TI,</w:t>
      </w:r>
      <w:r w:rsidR="5A56E9A7" w:rsidRPr="24242B6F">
        <w:rPr>
          <w:rFonts w:eastAsia="Verdana" w:cs="Verdana"/>
          <w:color w:val="000000" w:themeColor="text1"/>
        </w:rPr>
        <w:t xml:space="preserve"> e</w:t>
      </w:r>
      <w:r w:rsidR="65BF4C3C" w:rsidRPr="24242B6F">
        <w:rPr>
          <w:rFonts w:eastAsia="Verdana" w:cs="Verdana"/>
          <w:color w:val="000000" w:themeColor="text1"/>
        </w:rPr>
        <w:t>ste fortalecimiento, respaldado por un equipo técnico sólido, ha dinamizado la gobernanza y trazabilidad de los artefacto</w:t>
      </w:r>
      <w:r w:rsidR="65BF4C3C" w:rsidRPr="24242B6F">
        <w:rPr>
          <w:rFonts w:eastAsia="Calibri"/>
          <w:color w:val="000000" w:themeColor="text1"/>
        </w:rPr>
        <w:t>s arquitectónicos, asegurando decisiones sostenibles y coherentes que potencian la gestión y el gobierno de TI en el sector minero-energético.</w:t>
      </w:r>
    </w:p>
    <w:p w14:paraId="7E4E99EB" w14:textId="29E64649" w:rsidR="1407A318" w:rsidRDefault="116651F9" w:rsidP="2B0A867C">
      <w:pPr>
        <w:rPr>
          <w:rFonts w:eastAsia="Calibri"/>
          <w:color w:val="000000" w:themeColor="text1"/>
        </w:rPr>
      </w:pPr>
      <w:r w:rsidRPr="00930206">
        <w:rPr>
          <w:rFonts w:eastAsia="Calibri"/>
          <w:color w:val="000000" w:themeColor="text1"/>
        </w:rPr>
        <w:t>E</w:t>
      </w:r>
      <w:r w:rsidR="4D916F29" w:rsidRPr="00930206">
        <w:rPr>
          <w:rFonts w:eastAsia="Calibri"/>
          <w:color w:val="000000" w:themeColor="text1"/>
        </w:rPr>
        <w:t>l Ministerio de Minas y Energía proyecta alcanzar la adopción institucional integral de la diagramación y automatización de sus procesos, conforme</w:t>
      </w:r>
      <w:commentRangeStart w:id="38"/>
      <w:r w:rsidR="4D916F29" w:rsidRPr="00930206">
        <w:rPr>
          <w:rFonts w:eastAsia="Calibri"/>
          <w:color w:val="000000" w:themeColor="text1"/>
        </w:rPr>
        <w:t xml:space="preserve"> a</w:t>
      </w:r>
      <w:r w:rsidR="54F6E1EB" w:rsidRPr="00930206">
        <w:rPr>
          <w:rFonts w:eastAsia="Calibri"/>
          <w:color w:val="000000" w:themeColor="text1"/>
        </w:rPr>
        <w:t xml:space="preserve"> </w:t>
      </w:r>
      <w:r w:rsidR="4D916F29" w:rsidRPr="00930206">
        <w:rPr>
          <w:rFonts w:eastAsia="Calibri"/>
          <w:color w:val="000000" w:themeColor="text1"/>
        </w:rPr>
        <w:t>l</w:t>
      </w:r>
      <w:r w:rsidR="4AD0F5DD" w:rsidRPr="00930206">
        <w:rPr>
          <w:rFonts w:eastAsia="Calibri"/>
          <w:color w:val="000000" w:themeColor="text1"/>
        </w:rPr>
        <w:t xml:space="preserve">a </w:t>
      </w:r>
      <w:r w:rsidR="75BFE24D" w:rsidRPr="00930206">
        <w:rPr>
          <w:rFonts w:eastAsia="Calibri"/>
          <w:color w:val="000000" w:themeColor="text1"/>
        </w:rPr>
        <w:t xml:space="preserve">nueva </w:t>
      </w:r>
      <w:r w:rsidR="4AD0F5DD" w:rsidRPr="00930206">
        <w:rPr>
          <w:rFonts w:eastAsia="Calibri"/>
          <w:color w:val="000000" w:themeColor="text1"/>
        </w:rPr>
        <w:t xml:space="preserve">propuesta </w:t>
      </w:r>
      <w:r w:rsidR="2E15F8D4" w:rsidRPr="00930206">
        <w:rPr>
          <w:rFonts w:eastAsia="Calibri"/>
          <w:color w:val="000000" w:themeColor="text1"/>
        </w:rPr>
        <w:t xml:space="preserve">del </w:t>
      </w:r>
      <w:r w:rsidR="4D916F29" w:rsidRPr="00930206">
        <w:rPr>
          <w:rFonts w:eastAsia="Calibri"/>
          <w:color w:val="000000" w:themeColor="text1"/>
        </w:rPr>
        <w:t xml:space="preserve">mapa de procesos </w:t>
      </w:r>
      <w:r w:rsidR="38ED588E" w:rsidRPr="00930206">
        <w:rPr>
          <w:rFonts w:eastAsia="Calibri"/>
          <w:color w:val="000000" w:themeColor="text1"/>
        </w:rPr>
        <w:t xml:space="preserve">para el Ministerio de Minas y Energía </w:t>
      </w:r>
      <w:r w:rsidR="16CFC195" w:rsidRPr="00930206">
        <w:rPr>
          <w:rFonts w:eastAsia="Calibri"/>
          <w:color w:val="000000" w:themeColor="text1"/>
        </w:rPr>
        <w:t>(</w:t>
      </w:r>
      <w:r w:rsidR="609C2C64" w:rsidRPr="00930206">
        <w:rPr>
          <w:rFonts w:eastAsia="Calibri"/>
          <w:color w:val="000000" w:themeColor="text1"/>
        </w:rPr>
        <w:t>E</w:t>
      </w:r>
      <w:r w:rsidR="4D916F29" w:rsidRPr="00930206">
        <w:rPr>
          <w:rFonts w:eastAsia="Calibri"/>
          <w:color w:val="000000" w:themeColor="text1"/>
        </w:rPr>
        <w:t xml:space="preserve">stratégicos, </w:t>
      </w:r>
      <w:r w:rsidR="3134104C" w:rsidRPr="00930206">
        <w:rPr>
          <w:rFonts w:eastAsia="Calibri"/>
          <w:color w:val="000000" w:themeColor="text1"/>
        </w:rPr>
        <w:t>M</w:t>
      </w:r>
      <w:r w:rsidR="4D916F29" w:rsidRPr="00930206">
        <w:rPr>
          <w:rFonts w:eastAsia="Calibri"/>
          <w:color w:val="000000" w:themeColor="text1"/>
        </w:rPr>
        <w:t xml:space="preserve">isionales, de </w:t>
      </w:r>
      <w:r w:rsidR="22D111EC" w:rsidRPr="00930206">
        <w:rPr>
          <w:rFonts w:eastAsia="Calibri"/>
          <w:color w:val="000000" w:themeColor="text1"/>
        </w:rPr>
        <w:t>A</w:t>
      </w:r>
      <w:r w:rsidR="4D916F29" w:rsidRPr="00930206">
        <w:rPr>
          <w:rFonts w:eastAsia="Calibri"/>
          <w:color w:val="000000" w:themeColor="text1"/>
        </w:rPr>
        <w:t xml:space="preserve">poyo y </w:t>
      </w:r>
      <w:r w:rsidR="4B357061" w:rsidRPr="00930206">
        <w:rPr>
          <w:rFonts w:eastAsia="Calibri"/>
          <w:color w:val="000000" w:themeColor="text1"/>
        </w:rPr>
        <w:t>T</w:t>
      </w:r>
      <w:r w:rsidR="4D916F29" w:rsidRPr="00930206">
        <w:rPr>
          <w:rFonts w:eastAsia="Calibri"/>
          <w:color w:val="000000" w:themeColor="text1"/>
        </w:rPr>
        <w:t>ransversales</w:t>
      </w:r>
      <w:r w:rsidR="581B0B21" w:rsidRPr="00930206">
        <w:rPr>
          <w:rFonts w:eastAsia="Calibri"/>
          <w:color w:val="000000" w:themeColor="text1"/>
        </w:rPr>
        <w:t>)</w:t>
      </w:r>
      <w:commentRangeEnd w:id="38"/>
      <w:r w:rsidR="4D916F29" w:rsidRPr="00930206">
        <w:rPr>
          <w:rStyle w:val="CommentReference"/>
          <w:rFonts w:eastAsia="Calibri"/>
          <w:color w:val="000000" w:themeColor="text1"/>
          <w:sz w:val="22"/>
          <w:szCs w:val="22"/>
        </w:rPr>
        <w:commentReference w:id="38"/>
      </w:r>
      <w:r w:rsidR="4D916F29" w:rsidRPr="00930206">
        <w:rPr>
          <w:rFonts w:eastAsia="Calibri"/>
          <w:color w:val="000000" w:themeColor="text1"/>
        </w:rPr>
        <w:t>. Esta iniciativa, fundamentada en la metodología BPMN (Business Process Model and Notation), se ejecuta de manera articulada bajo la orientación de la Oficina de Planeación y Gestión In</w:t>
      </w:r>
      <w:r w:rsidR="220E028F" w:rsidRPr="00930206">
        <w:rPr>
          <w:rFonts w:eastAsia="Calibri"/>
          <w:color w:val="000000" w:themeColor="text1"/>
        </w:rPr>
        <w:t>ternacional</w:t>
      </w:r>
      <w:r w:rsidR="4D916F29" w:rsidRPr="00930206">
        <w:rPr>
          <w:rFonts w:eastAsia="Calibri"/>
          <w:color w:val="000000" w:themeColor="text1"/>
        </w:rPr>
        <w:t xml:space="preserve"> (OPGI), consolidando una arquitectura de procesos que garantiza la trazabilidad y la eficiencia operativa.</w:t>
      </w:r>
    </w:p>
    <w:p w14:paraId="0E78A18C" w14:textId="28B2886E" w:rsidR="477BBA50" w:rsidRDefault="697551E4" w:rsidP="24242B6F">
      <w:pPr>
        <w:rPr>
          <w:b/>
          <w:bCs/>
        </w:rPr>
      </w:pPr>
      <w:commentRangeStart w:id="40"/>
      <w:r w:rsidRPr="24242B6F">
        <w:rPr>
          <w:b/>
          <w:bCs/>
        </w:rPr>
        <w:t>Adopción de la metodología de Gestión de Proyectos de TI</w:t>
      </w:r>
      <w:commentRangeEnd w:id="40"/>
      <w:r w:rsidR="4BE6B470">
        <w:rPr>
          <w:rStyle w:val="CommentReference"/>
          <w:b/>
          <w:bCs/>
          <w:sz w:val="22"/>
          <w:szCs w:val="22"/>
        </w:rPr>
        <w:commentReference w:id="40"/>
      </w:r>
    </w:p>
    <w:p w14:paraId="01E322E8" w14:textId="74BEBA59" w:rsidR="3E70CA4A" w:rsidRDefault="25F11C14" w:rsidP="24242B6F">
      <w:pPr>
        <w:rPr>
          <w:rFonts w:eastAsia="Verdana" w:cs="Verdana"/>
          <w:color w:val="000000" w:themeColor="text1"/>
        </w:rPr>
      </w:pPr>
      <w:r w:rsidRPr="24242B6F">
        <w:rPr>
          <w:rFonts w:eastAsia="Verdana" w:cs="Verdana"/>
          <w:color w:val="000000" w:themeColor="text1"/>
        </w:rPr>
        <w:t>El Modelo de Gestión de Proyectos de TI (MGPTI) y la consolidación de la PMO han evolucionado de manera estratégica sobre las bases definidas en</w:t>
      </w:r>
      <w:r w:rsidR="786C3CCE" w:rsidRPr="24242B6F">
        <w:rPr>
          <w:rFonts w:eastAsia="Verdana" w:cs="Verdana"/>
          <w:color w:val="000000" w:themeColor="text1"/>
        </w:rPr>
        <w:t xml:space="preserve"> la</w:t>
      </w:r>
      <w:r w:rsidR="112E54DF" w:rsidRPr="24242B6F">
        <w:rPr>
          <w:rFonts w:eastAsia="Verdana" w:cs="Verdana"/>
          <w:color w:val="000000" w:themeColor="text1"/>
        </w:rPr>
        <w:t>s</w:t>
      </w:r>
      <w:r w:rsidR="12286CC6" w:rsidRPr="24242B6F">
        <w:rPr>
          <w:rFonts w:eastAsia="Verdana" w:cs="Verdana"/>
          <w:color w:val="000000" w:themeColor="text1"/>
        </w:rPr>
        <w:t xml:space="preserve"> </w:t>
      </w:r>
      <w:r w:rsidRPr="24242B6F">
        <w:rPr>
          <w:rFonts w:eastAsia="Verdana" w:cs="Verdana"/>
          <w:color w:val="000000" w:themeColor="text1"/>
        </w:rPr>
        <w:t>vigencias anteriores, pasando de un enfoque conceptual a un modelo operativo en marcha. Durante 2025 se logró estructurar y validar el modelo en su totalidad, incluyendo metodología híbrida, definición de roles, indicadores y artefactos, así como su alineación con buenas prácticas de gestión y arquitectura empresarial</w:t>
      </w:r>
      <w:r w:rsidR="197DE5D1" w:rsidRPr="24242B6F">
        <w:rPr>
          <w:rFonts w:eastAsia="Verdana" w:cs="Verdana"/>
          <w:color w:val="000000" w:themeColor="text1"/>
        </w:rPr>
        <w:t>, acompañado por equipo de seguimiento a la gestión de proyectos</w:t>
      </w:r>
      <w:r w:rsidRPr="24242B6F">
        <w:rPr>
          <w:rFonts w:eastAsia="Verdana" w:cs="Verdana"/>
          <w:color w:val="000000" w:themeColor="text1"/>
        </w:rPr>
        <w:t>. Como resultado, hoy se cuenta con un marco estandarizado que organiza la gestión de proyectos de TI en el Ministerio y establece un lenguaje común para todos los equipos.</w:t>
      </w:r>
    </w:p>
    <w:p w14:paraId="2BB2DF32" w14:textId="213C6673" w:rsidR="3E70CA4A" w:rsidRDefault="343FE85E" w:rsidP="24242B6F">
      <w:pPr>
        <w:rPr>
          <w:rFonts w:eastAsia="Verdana" w:cs="Verdana"/>
          <w:color w:val="000000" w:themeColor="text1"/>
        </w:rPr>
      </w:pPr>
      <w:r w:rsidRPr="44AD296D">
        <w:rPr>
          <w:rFonts w:eastAsia="Verdana" w:cs="Verdana"/>
          <w:color w:val="000000" w:themeColor="text1"/>
        </w:rPr>
        <w:t xml:space="preserve">En 2026, el avance ha sido contundente en términos de implementación y adopción. Se destacan como principales victorias la ejecución de las fases de socialización, capacitación e implementación, así como la puesta en operación de la herramienta de gestión (TAIGA) para el seguimiento integral de los proyectos. Esto ha permitido mejorar la visibilidad del portafolio, fortalecer el control sobre indicadores técnicos y de avance, y </w:t>
      </w:r>
      <w:r w:rsidR="1390F27E" w:rsidRPr="44AD296D">
        <w:rPr>
          <w:rFonts w:eastAsia="Verdana" w:cs="Verdana"/>
          <w:color w:val="000000" w:themeColor="text1"/>
        </w:rPr>
        <w:t>establece</w:t>
      </w:r>
      <w:r w:rsidRPr="44AD296D">
        <w:rPr>
          <w:rFonts w:eastAsia="Verdana" w:cs="Verdana"/>
          <w:color w:val="000000" w:themeColor="text1"/>
        </w:rPr>
        <w:t>r a la PMO como un actor estratégico en la toma de decisiones. Adicionalmente, se ha logrado un mayor nivel de articulación con los equipos técnicos, promoviendo prácticas ágiles y una cultura orientada a resultados.</w:t>
      </w:r>
    </w:p>
    <w:p w14:paraId="44C69A14" w14:textId="419E56BA" w:rsidR="528A3AEA" w:rsidRDefault="528A3AEA" w:rsidP="44AD296D">
      <w:r w:rsidRPr="44AD296D">
        <w:rPr>
          <w:rFonts w:eastAsia="Verdana" w:cs="Verdana"/>
        </w:rPr>
        <w:t>Como resultado de las fases actualmente ejecutadas y de los avances previstos para el segundo semestre de 2026, se proyecta la adopción institucional del MGPTI como modelo oficial para la gestión de proyectos de TI, consolidando a al Equipo de Gestión de Proyectos de TI como el eje de gobierno, seguimiento y mejora continua. El avance alcanzado permitirá no solo fortalecer la gestión interna del Ministerio, sino también iniciar la proyección y extensión progresiva del modelo hacia las entidades adscritas del sector, promoviendo estándares comunes, mayor trazabilidad y una visión articulada de la gestión tecnológica. De esta manera, el MGPTI se consolida como una iniciativa estratégica con capacidad de escalamiento sectorial, orientada a incrementar la eficiencia, el control y la generación de valor público desde la tecnología.</w:t>
      </w:r>
    </w:p>
    <w:p w14:paraId="3C3A5DF4" w14:textId="61AE4F3C" w:rsidR="00BB7AC3" w:rsidRPr="004A2840" w:rsidRDefault="00BB7AC3" w:rsidP="0060060B">
      <w:pPr>
        <w:pStyle w:val="Heading1"/>
      </w:pPr>
      <w:r w:rsidRPr="004A2840">
        <w:t>Gestión del conocimiento y la innovación</w:t>
      </w:r>
    </w:p>
    <w:p w14:paraId="6C481F52" w14:textId="703FC28B" w:rsidR="00DC252B" w:rsidRPr="004A2840" w:rsidRDefault="002D167D" w:rsidP="0060060B">
      <w:r w:rsidRPr="004A2840">
        <w:t>Describa las estrategias implementadas durante el cuatrienio para fortalecer la gestión del conocimiento.</w:t>
      </w:r>
    </w:p>
    <w:p w14:paraId="37FFF660" w14:textId="0083F18F" w:rsidR="002A5CED" w:rsidRPr="004A2840" w:rsidRDefault="002A5CED" w:rsidP="0060060B">
      <w:pPr>
        <w:pStyle w:val="Heading2"/>
      </w:pPr>
      <w:r w:rsidRPr="004A2840">
        <w:t>Buenas prácticas para la gestión del conocimiento y la innovación</w:t>
      </w:r>
    </w:p>
    <w:p w14:paraId="6DC89FA2" w14:textId="42816CBB" w:rsidR="002D167D" w:rsidRPr="004A2840" w:rsidRDefault="002D167D" w:rsidP="0060060B">
      <w:r w:rsidRPr="004A2840">
        <w:t>Explique experiencias desarrolladas durante el periodo.</w:t>
      </w:r>
    </w:p>
    <w:p w14:paraId="719B8CB3" w14:textId="741882D1" w:rsidR="002A5CED" w:rsidRPr="004A2840" w:rsidRDefault="002A5CED" w:rsidP="0060060B">
      <w:pPr>
        <w:pStyle w:val="Heading2"/>
      </w:pPr>
      <w:r w:rsidRPr="004A2840">
        <w:t>Red Nacional de Conocimiento para la Transición Energética Justa (RedTEJ)</w:t>
      </w:r>
    </w:p>
    <w:p w14:paraId="64BBF27A" w14:textId="09EF060C" w:rsidR="002D167D" w:rsidRPr="004A2840" w:rsidRDefault="002D167D" w:rsidP="0060060B">
      <w:r w:rsidRPr="004A2840">
        <w:t>Describa avances y consolidación de la red durante el cuatrienio.</w:t>
      </w:r>
    </w:p>
    <w:p w14:paraId="3A7FB667" w14:textId="645221DF" w:rsidR="00C712D1" w:rsidRPr="004A2840" w:rsidRDefault="002A5CED" w:rsidP="0060060B">
      <w:pPr>
        <w:pStyle w:val="Heading2"/>
      </w:pPr>
      <w:r w:rsidRPr="004A2840">
        <w:t>Gestión Estadística</w:t>
      </w:r>
    </w:p>
    <w:p w14:paraId="1BDAA456" w14:textId="00A22FCC" w:rsidR="002D167D" w:rsidRPr="004A2840" w:rsidRDefault="00DC294A" w:rsidP="0060060B">
      <w:r w:rsidRPr="004A2840">
        <w:t>Explique los avances logrados en la producción y uso de información estadística durante el periodo. Explique el estado del PES al cierre del cuatrienio (formulación, validación o implementación inicial), destacando avances logrados entre 2022 y marzo de 2026, así como su proyección hacia el siguiente periodo.</w:t>
      </w:r>
    </w:p>
    <w:p w14:paraId="2008A35F" w14:textId="00258584" w:rsidR="00BB7AC3" w:rsidRPr="004A2840" w:rsidRDefault="00BB7AC3" w:rsidP="0060060B">
      <w:pPr>
        <w:pStyle w:val="Heading1"/>
      </w:pPr>
      <w:r w:rsidRPr="004A2840">
        <w:t>Nuestra gestión documental</w:t>
      </w:r>
    </w:p>
    <w:p w14:paraId="7439F822" w14:textId="6C49CB5B" w:rsidR="00DC294A" w:rsidRPr="004A2840" w:rsidRDefault="00641839" w:rsidP="0060060B">
      <w:r w:rsidRPr="004A2840">
        <w:t>Describa la evolución de la gestión documental durante el cuatrienio.</w:t>
      </w:r>
    </w:p>
    <w:p w14:paraId="5AC43BCF" w14:textId="6187A89D" w:rsidR="002A5CED" w:rsidRPr="004A2840" w:rsidRDefault="002A5CED" w:rsidP="0060060B">
      <w:pPr>
        <w:pStyle w:val="Heading2"/>
      </w:pPr>
      <w:r w:rsidRPr="004A2840">
        <w:t xml:space="preserve">Programa de Gestión Documental - PGD </w:t>
      </w:r>
    </w:p>
    <w:p w14:paraId="59394A8A" w14:textId="3618E5A9" w:rsidR="00641839" w:rsidRPr="004A2840" w:rsidRDefault="00641839" w:rsidP="0060060B">
      <w:r w:rsidRPr="004A2840">
        <w:t>Explique avances en su implementación.</w:t>
      </w:r>
    </w:p>
    <w:p w14:paraId="605FE92F" w14:textId="4434029F" w:rsidR="002A5CED" w:rsidRPr="004A2840" w:rsidRDefault="002A5CED" w:rsidP="0060060B">
      <w:pPr>
        <w:pStyle w:val="Heading2"/>
      </w:pPr>
      <w:r w:rsidRPr="004A2840">
        <w:t>Avances y beneficios de los instrumentos archivísticos</w:t>
      </w:r>
    </w:p>
    <w:p w14:paraId="58DFEE3A" w14:textId="38AA3A78" w:rsidR="00641839" w:rsidRPr="004A2840" w:rsidRDefault="00641839" w:rsidP="0060060B">
      <w:r w:rsidRPr="004A2840">
        <w:t>Describa instrumentos desarrollados y su impacto.</w:t>
      </w:r>
    </w:p>
    <w:p w14:paraId="1CA7CF21" w14:textId="2DF18FFE" w:rsidR="00BB7AC3" w:rsidRPr="004A2840" w:rsidRDefault="00BB7AC3" w:rsidP="0060060B">
      <w:pPr>
        <w:pStyle w:val="Heading1"/>
      </w:pPr>
      <w:r w:rsidRPr="004A2840">
        <w:t>Gestión para la sostenibilidad ambiental institucional</w:t>
      </w:r>
    </w:p>
    <w:p w14:paraId="7A0F177E" w14:textId="0BEE3ED2" w:rsidR="00641839" w:rsidRPr="004A2840" w:rsidRDefault="00641839" w:rsidP="0060060B">
      <w:r w:rsidRPr="004A2840">
        <w:t>Describa las acciones adelantadas durante el cuatrienio en materia ambiental.</w:t>
      </w:r>
    </w:p>
    <w:p w14:paraId="5B90B84D" w14:textId="7D54A96D" w:rsidR="002A5CED" w:rsidRPr="004A2840" w:rsidRDefault="00B65059" w:rsidP="0060060B">
      <w:pPr>
        <w:pStyle w:val="Heading2"/>
      </w:pPr>
      <w:r w:rsidRPr="004A2840">
        <w:t>Avances en el Sistema de Gestión Ambiental en el Ministerio de Minas y Energía</w:t>
      </w:r>
    </w:p>
    <w:p w14:paraId="0D835155" w14:textId="38B278A5" w:rsidR="00641839" w:rsidRPr="004A2840" w:rsidRDefault="00857E26" w:rsidP="0060060B">
      <w:r w:rsidRPr="004A2840">
        <w:t>Explique avances y resultados durante el periodo.</w:t>
      </w:r>
    </w:p>
    <w:p w14:paraId="6CC1E918" w14:textId="5A769B5A" w:rsidR="00BB7AC3" w:rsidRPr="004A2840" w:rsidRDefault="00BB7AC3" w:rsidP="0060060B">
      <w:pPr>
        <w:pStyle w:val="Heading1"/>
      </w:pPr>
      <w:r w:rsidRPr="004A2840">
        <w:t>Transparencia y ética pública</w:t>
      </w:r>
    </w:p>
    <w:p w14:paraId="5BCB58C6" w14:textId="6B7CAE6C" w:rsidR="00857E26" w:rsidRPr="004A2840" w:rsidRDefault="00857E26" w:rsidP="0060060B">
      <w:r w:rsidRPr="004A2840">
        <w:t>Describa las acciones implementadas durante el cuatrienio para fortalecer la transparencia y la integridad.</w:t>
      </w:r>
    </w:p>
    <w:p w14:paraId="5B381227" w14:textId="0CB60F51" w:rsidR="00B65059" w:rsidRPr="004A2840" w:rsidRDefault="00B65059" w:rsidP="0060060B">
      <w:pPr>
        <w:pStyle w:val="Heading2"/>
      </w:pPr>
      <w:r w:rsidRPr="004A2840">
        <w:t>Prácticas de transparencia y Estado Abierto</w:t>
      </w:r>
    </w:p>
    <w:p w14:paraId="3A3FBA99" w14:textId="1FC72D3D" w:rsidR="00857E26" w:rsidRPr="004A2840" w:rsidRDefault="00857E26" w:rsidP="0060060B">
      <w:r w:rsidRPr="004A2840">
        <w:t>Explique avances en participación y acceso a la información.</w:t>
      </w:r>
    </w:p>
    <w:p w14:paraId="111D3F88" w14:textId="64462FB9" w:rsidR="00B65059" w:rsidRPr="004A2840" w:rsidRDefault="00B65059" w:rsidP="0060060B">
      <w:pPr>
        <w:pStyle w:val="Heading2"/>
      </w:pPr>
      <w:r w:rsidRPr="004A2840">
        <w:t>Cultura de Integridad y Código de valores</w:t>
      </w:r>
    </w:p>
    <w:p w14:paraId="438B2406" w14:textId="4733564C" w:rsidR="00857E26" w:rsidRPr="004A2840" w:rsidRDefault="00857E26" w:rsidP="0060060B">
      <w:r w:rsidRPr="004A2840">
        <w:t>Describa estrategias implementadas durante el periodo.</w:t>
      </w:r>
    </w:p>
    <w:p w14:paraId="4C9B5438" w14:textId="2F9100F5" w:rsidR="00B65059" w:rsidRPr="004A2840" w:rsidRDefault="00B65059" w:rsidP="0060060B">
      <w:pPr>
        <w:pStyle w:val="Heading2"/>
      </w:pPr>
      <w:r w:rsidRPr="004A2840">
        <w:t xml:space="preserve">Iniciativa de Transparencia en la Industria Extractiva </w:t>
      </w:r>
      <w:r w:rsidR="00857E26" w:rsidRPr="004A2840">
        <w:t>–</w:t>
      </w:r>
      <w:r w:rsidRPr="004A2840">
        <w:t xml:space="preserve"> EITI</w:t>
      </w:r>
    </w:p>
    <w:p w14:paraId="06A97B37" w14:textId="2D1DD036" w:rsidR="00857E26" w:rsidRPr="004A2840" w:rsidRDefault="00525384" w:rsidP="0060060B">
      <w:r w:rsidRPr="004A2840">
        <w:t>Explique avances alcanzados durante el cuatrienio.</w:t>
      </w:r>
    </w:p>
    <w:p w14:paraId="4155FAF0" w14:textId="3E10220F" w:rsidR="00BB7AC3" w:rsidRPr="004A2840" w:rsidRDefault="00BB7AC3" w:rsidP="0060060B">
      <w:pPr>
        <w:pStyle w:val="Heading1"/>
      </w:pPr>
      <w:r w:rsidRPr="004A2840">
        <w:t>Gestión de comunicaciones</w:t>
      </w:r>
    </w:p>
    <w:p w14:paraId="689CA444" w14:textId="3EE81245" w:rsidR="00BD63C9" w:rsidRPr="004A2840" w:rsidRDefault="00BD63C9" w:rsidP="0060060B">
      <w:r w:rsidRPr="004A2840">
        <w:t>Describa de manera integral la gestión de comunicaciones del Ministerio durante el cuatrienio agosto de 2022 a marzo de 2026, evidenciando cómo las estrategias implementadas contribuyeron al posicionamiento institucional, la divulgación de resultados, la transparencia y el fortalecimiento de la relación con los grupos de valor. Incluya el enfoque de comunicación pública, así como la articulación entre los componentes interno y externo.</w:t>
      </w:r>
    </w:p>
    <w:p w14:paraId="45CC9ECE" w14:textId="4CBDFABC" w:rsidR="00E628C8" w:rsidRPr="004A2840" w:rsidRDefault="00E628C8" w:rsidP="0060060B">
      <w:pPr>
        <w:pStyle w:val="Heading2"/>
      </w:pPr>
      <w:r w:rsidRPr="004A2840">
        <w:t>Estrategias comunicación interna y externa</w:t>
      </w:r>
    </w:p>
    <w:p w14:paraId="61E5ADDB" w14:textId="77777777" w:rsidR="00BE086B" w:rsidRPr="004A2840" w:rsidRDefault="00BE086B" w:rsidP="0060060B">
      <w:r w:rsidRPr="004A2840">
        <w:t>Describa la evolución de las estrategias de comunicación interna y externa durante el cuatrienio.</w:t>
      </w:r>
    </w:p>
    <w:p w14:paraId="1A88ACC5" w14:textId="3C453344" w:rsidR="00BB7AC3" w:rsidRPr="004A2840" w:rsidRDefault="00BB7AC3" w:rsidP="0060060B">
      <w:pPr>
        <w:pStyle w:val="Heading1"/>
      </w:pPr>
      <w:r w:rsidRPr="004A2840">
        <w:t>Control y evaluación para el mejoramiento de la gestión</w:t>
      </w:r>
    </w:p>
    <w:p w14:paraId="00B5F8F7" w14:textId="7342C1C7" w:rsidR="00525384" w:rsidRPr="004A2840" w:rsidRDefault="00525384" w:rsidP="0060060B">
      <w:r w:rsidRPr="004A2840">
        <w:t>Describa los mecanismos implementados durante el periodo para seguimiento y mejora de la gestión.</w:t>
      </w:r>
    </w:p>
    <w:p w14:paraId="4E794358" w14:textId="5E6C131D" w:rsidR="00E628C8" w:rsidRPr="004A2840" w:rsidRDefault="00E628C8" w:rsidP="0060060B">
      <w:pPr>
        <w:pStyle w:val="Heading2"/>
      </w:pPr>
      <w:r w:rsidRPr="004A2840">
        <w:t>Principales resultados derivadas de las auditorías internas independientes</w:t>
      </w:r>
    </w:p>
    <w:p w14:paraId="5BC784E4" w14:textId="722B3908" w:rsidR="00576B45" w:rsidRPr="004A2840" w:rsidRDefault="00576B45" w:rsidP="0060060B">
      <w:r w:rsidRPr="004A2840">
        <w:t>Explique hallazgos relevantes y acciones de mejora durante el cuatrienio.</w:t>
      </w:r>
    </w:p>
    <w:p w14:paraId="1D1966F4" w14:textId="0F6FB991" w:rsidR="00E628C8" w:rsidRPr="004A2840" w:rsidRDefault="00E628C8" w:rsidP="0060060B">
      <w:pPr>
        <w:pStyle w:val="Heading2"/>
      </w:pPr>
      <w:r w:rsidRPr="004A2840">
        <w:t>Relacionamiento y compromisos con entes de control</w:t>
      </w:r>
    </w:p>
    <w:p w14:paraId="6661AF2A" w14:textId="0EF42FBC" w:rsidR="00576B45" w:rsidRPr="004A2840" w:rsidRDefault="006F53C9" w:rsidP="0060060B">
      <w:r w:rsidRPr="004A2840">
        <w:t>Describa la gestión de requerimientos durante el periodo.</w:t>
      </w:r>
    </w:p>
    <w:p w14:paraId="16A17F06" w14:textId="38FDC99A" w:rsidR="00E628C8" w:rsidRPr="004A2840" w:rsidRDefault="00E628C8" w:rsidP="0060060B">
      <w:pPr>
        <w:pStyle w:val="Heading2"/>
      </w:pPr>
      <w:r w:rsidRPr="004A2840">
        <w:t>Gestión del control disciplinario interno</w:t>
      </w:r>
    </w:p>
    <w:p w14:paraId="218630B7" w14:textId="06B9C293" w:rsidR="006F53C9" w:rsidRPr="004A2840" w:rsidRDefault="006F53C9" w:rsidP="0060060B">
      <w:r w:rsidRPr="004A2840">
        <w:t>Explique la evolución de la gestión disciplinaria.</w:t>
      </w:r>
    </w:p>
    <w:p w14:paraId="79BB9D18" w14:textId="0CFB969D" w:rsidR="00BB7AC3" w:rsidRPr="004A2840" w:rsidRDefault="00BB7AC3" w:rsidP="0060060B">
      <w:pPr>
        <w:pStyle w:val="Heading1"/>
      </w:pPr>
      <w:r w:rsidRPr="004A2840">
        <w:t>Retos y Recomendaciones</w:t>
      </w:r>
    </w:p>
    <w:p w14:paraId="307F4FC2" w14:textId="00C9109F" w:rsidR="006F53C9" w:rsidRPr="004A2840" w:rsidRDefault="006F53C9" w:rsidP="0060060B">
      <w:r>
        <w:t xml:space="preserve">Identifique los principales desafíos al cierre del </w:t>
      </w:r>
      <w:r w:rsidRPr="16B512B3">
        <w:rPr>
          <w:b/>
          <w:bCs/>
        </w:rPr>
        <w:t>cuatrienio agosto 2022 – marzo 2026</w:t>
      </w:r>
      <w:r>
        <w:t xml:space="preserve"> y proponga acciones para la siguiente administración.</w:t>
      </w:r>
    </w:p>
    <w:p w14:paraId="54BBD7B3" w14:textId="5CBB3A6A" w:rsidR="77689C34" w:rsidRDefault="24384BA5" w:rsidP="77689C34">
      <w:r w:rsidRPr="364889D1">
        <w:rPr>
          <w:color w:val="FF0000"/>
        </w:rPr>
        <w:t>TICS</w:t>
      </w:r>
    </w:p>
    <w:p w14:paraId="67826925" w14:textId="0C9F803F" w:rsidR="1EF55841" w:rsidRDefault="1EF55841" w:rsidP="77689C34">
      <w:commentRangeStart w:id="42"/>
      <w:commentRangeStart w:id="43"/>
      <w:r>
        <w:t xml:space="preserve">El Ministerio de Minas y Energía deja una base tecnológica más sólida que la que recibió: PETI institucional actualizado, PETI sectorial formulado, Intégrame como activo de datos, avances en interoperabilidad, ventanilla única, analítica consolidada, seguridad informática fortalecida y arquitectura empresarial operando a nivel institucional. Pero el desafío no es “tener proyectos”; el desafío es que esas iniciativas dejen de comportarse como islas y pasen a operar como capacidades </w:t>
      </w:r>
      <w:r w:rsidR="048374EC">
        <w:t xml:space="preserve">institucionales y se proyecten como capacidades </w:t>
      </w:r>
      <w:r>
        <w:t>sectoriales sostenibles.</w:t>
      </w:r>
    </w:p>
    <w:p w14:paraId="4ED6C114" w14:textId="44D9E010" w:rsidR="0C4C54A2" w:rsidRDefault="0C4C54A2" w:rsidP="77689C34">
      <w:r w:rsidRPr="77689C34">
        <w:t>En este contexto, una prioridad estratégica deberá ser fortalecer el gobierno sectorial de TI y datos, asegurando que las iniciativas tecnológicas no se queden en ejercicios aislados de cada entidad, sino que respondan a una arquitectura común, a estándares compartidos y a una hoja de ruta sectorial con responsables, indicadores, presupuesto y mecanismos de seguimiento. La siguiente administración deberá profundizar la modernización de los sistemas misionales, consolidar la interoperabilidad entre entidades, robustecer la ciberseguridad y continuidad operativa, y evolucionar las plataformas de datos hacia verdaderos instrumentos de gestión pública, capaces de soportar la transición energética, la planeación minera, la regulación, la fiscalización y la atención a la ciudadanía.</w:t>
      </w:r>
    </w:p>
    <w:p w14:paraId="612C5A30" w14:textId="05BE78FD" w:rsidR="77689C34" w:rsidRDefault="2959CE96" w:rsidP="77689C34">
      <w:r>
        <w:t>No obstante, ninguna de estas iniciativas tendrá impacto real si no se acompaña de una estrategia sólida de uso y apropiación. La tecnología no genera valor por el simple hecho de estar implementada; genera valor cuando los servidores públicos, contratistas, directivos, entidades adscritas y usuarios externos la incorporan en su trabajo diario, la entienden, confían en ella y la utilizan para mejorar sus decisiones y procesos. Por ello, la siguiente administración deberá priorizar una estrategia transversal de apropiación que incluya formación por roles, acompañamiento a los procesos, gestión del cambio, comunidades de práctica, medición de adopción y retroalimentación permanente. En términos simples: un sistema que nadie usa es solo un monumento digital; el verdadero éxito estará en que las soluciones tecnológicas se vuelvan parte natural de la operación cotidiana del Ministerio y del sector.</w:t>
      </w:r>
    </w:p>
    <w:p w14:paraId="03C0CB29" w14:textId="1AB1AC7A" w:rsidR="3A1D5576" w:rsidRDefault="3A1D5576" w:rsidP="71ECAF16">
      <w:pPr>
        <w:spacing w:after="0" w:line="300" w:lineRule="auto"/>
        <w:rPr>
          <w:rFonts w:ascii="Segoe UI" w:eastAsia="Segoe UI" w:hAnsi="Segoe UI" w:cs="Segoe UI"/>
          <w:sz w:val="21"/>
          <w:szCs w:val="21"/>
        </w:rPr>
      </w:pPr>
      <w:r>
        <w:t xml:space="preserve">De igual forma, </w:t>
      </w:r>
      <w:r w:rsidRPr="71ECAF16">
        <w:rPr>
          <w:rFonts w:ascii="Segoe UI" w:eastAsia="Segoe UI" w:hAnsi="Segoe UI" w:cs="Segoe UI"/>
          <w:sz w:val="21"/>
          <w:szCs w:val="21"/>
        </w:rPr>
        <w:t>y en coherencia con la necesidad de consolidar las capacidades tecnológicas como verdaderos habilitadores institucionales y sectoriales, se recomienda avanzar en tres líneas estructurales complementarias: en primer lugar, la creación de la Dependencia de Tecnologías de la Información y las Comunicaciones (TIC) en cumplimiento del Decreto 415 de 2016, como un paso indispensable para formalizar la gobernanza digital del Ministerio, superar la actual insuficiencia de perfiles especializados en la planta de personal y posicionar la gestión tecnológica como un activo estratégico que articule la arquitectura empresarial, la seguridad de la información y la generación de valor público; en segundo lugar, la renovación del Convenio 344 de 2020, cuya continuidad resulta crítica para garantizar la interoperabilidad efectiva entre el Ministerio y sus entidades adscritas, sostener el intercambio de datos, habilitar el uso compartido de plataformas bajo el Marco de Referencia de Arquitectura Empresarial (MRAE), optimizar el gasto público y preservar la transferencia de conocimiento técnico dentro del sector; y, en tercer lugar, la implementación de un plan integral de mejoramiento de la Política de Gobierno Digital, orientado a cerrar brechas de acceso y uso de los servicios digitales y a elevar el Índice de Gobierno Digital del 83,3 (medido por FURAG a corte 2024) a 98,9 en el cuatrienio 2025–2028, mediante el fortalecimiento de capacidades institucionales, la mejora continua de los servicios y la alineación con los lineamientos nacionales, de manera que estas acciones, articuladas entre sí, permitan que las iniciativas actuales dejen de operar como esfuerzos aislados y se consoliden como capacidades sostenibles, medibles y orientadas a resultados para el Ministerio y el sector.</w:t>
      </w:r>
      <w:commentRangeEnd w:id="42"/>
      <w:r>
        <w:rPr>
          <w:rStyle w:val="CommentReference"/>
          <w:rFonts w:ascii="Segoe UI" w:eastAsia="Segoe UI" w:hAnsi="Segoe UI" w:cs="Segoe UI"/>
          <w:sz w:val="21"/>
          <w:szCs w:val="21"/>
        </w:rPr>
        <w:commentReference w:id="42"/>
      </w:r>
      <w:commentRangeEnd w:id="43"/>
      <w:r>
        <w:rPr>
          <w:rStyle w:val="CommentReference"/>
          <w:rFonts w:ascii="Segoe UI" w:eastAsia="Segoe UI" w:hAnsi="Segoe UI" w:cs="Segoe UI"/>
          <w:sz w:val="21"/>
          <w:szCs w:val="21"/>
        </w:rPr>
        <w:commentReference w:id="43"/>
      </w:r>
    </w:p>
    <w:p w14:paraId="30F4DD93" w14:textId="4A0C3953" w:rsidR="24242B6F" w:rsidRDefault="24242B6F"/>
    <w:p w14:paraId="07C2C9EA" w14:textId="07B54E2D" w:rsidR="008F4FD3" w:rsidRPr="004A2840" w:rsidRDefault="008F4FD3" w:rsidP="0060060B">
      <w:pPr>
        <w:pStyle w:val="Heading2"/>
      </w:pPr>
      <w:r w:rsidRPr="004A2840">
        <w:t>Estratégicos: Recomendaciones en materia de resultados.</w:t>
      </w:r>
    </w:p>
    <w:p w14:paraId="24939896" w14:textId="7A335C98" w:rsidR="006F53C9" w:rsidRPr="004A2840" w:rsidRDefault="006D30CA" w:rsidP="0060060B">
      <w:r w:rsidRPr="004A2840">
        <w:t>Recomendaciones orientadas a resultados y política sectorial.</w:t>
      </w:r>
    </w:p>
    <w:p w14:paraId="56C8C211" w14:textId="7EB6EE4C" w:rsidR="008F4FD3" w:rsidRPr="004A2840" w:rsidRDefault="008F4FD3" w:rsidP="0060060B">
      <w:pPr>
        <w:pStyle w:val="Heading2"/>
      </w:pPr>
      <w:r w:rsidRPr="004A2840">
        <w:t>Operativos: Recomendaciones a nivel de producto y/o proceso o gestión</w:t>
      </w:r>
    </w:p>
    <w:p w14:paraId="45D1BFFB" w14:textId="42276C44" w:rsidR="006D30CA" w:rsidRPr="004A2840" w:rsidRDefault="006D30CA" w:rsidP="0060060B">
      <w:r w:rsidRPr="004A2840">
        <w:t>Recomendaciones sobre procesos y gestión.</w:t>
      </w:r>
    </w:p>
    <w:p w14:paraId="6124AE25" w14:textId="16594521" w:rsidR="00E628C8" w:rsidRPr="004A2840" w:rsidRDefault="008F4FD3" w:rsidP="0060060B">
      <w:pPr>
        <w:pStyle w:val="Heading2"/>
      </w:pPr>
      <w:r w:rsidRPr="004A2840">
        <w:t>Lecciones aprendidas:  que se podrían tener en cuenta en la próxima gestión que redunden en el bienestar de la ciudadanía.</w:t>
      </w:r>
    </w:p>
    <w:p w14:paraId="37C8D83A" w14:textId="01ABA4D9" w:rsidR="68123099" w:rsidRDefault="68123099" w:rsidP="68123099"/>
    <w:p w14:paraId="6C8B79DC" w14:textId="49F766D1" w:rsidR="279A06AD" w:rsidRDefault="279A06AD">
      <w:r>
        <w:t xml:space="preserve">La gestión institucional evidenció aprendizajes clave que deben ser tenidos en cuenta por la </w:t>
      </w:r>
      <w:r w:rsidR="0BA6F0A7">
        <w:t>próxima</w:t>
      </w:r>
      <w:r w:rsidR="202CE1FB">
        <w:t xml:space="preserve"> gestión</w:t>
      </w:r>
      <w:r>
        <w:t xml:space="preserve"> </w:t>
      </w:r>
      <w:r w:rsidR="1B37E4B5">
        <w:t>con el fin de</w:t>
      </w:r>
      <w:r>
        <w:t xml:space="preserve"> consolidar los avances alcanzados, cerrar brechas y fortalecer la capacidad del Ministerio de Minas y Energia para generar valor público y bienestar para la ciudadanía. Estas lecciones surgen de la experiencia acumulada en materia de planeación, transformación digital, gestión de datos, fortalecimiento institucional, seguridad digital, atención a grupos de valor y modernización en los </w:t>
      </w:r>
      <w:r w:rsidR="17FF893D">
        <w:t>diferentes</w:t>
      </w:r>
      <w:r>
        <w:t xml:space="preserve"> procesos.</w:t>
      </w:r>
    </w:p>
    <w:p w14:paraId="5082401E" w14:textId="5F8B26CC" w:rsidR="277458B4" w:rsidRDefault="277458B4" w:rsidP="6C452F14">
      <w:r w:rsidRPr="6A1C73F1">
        <w:rPr>
          <w:rFonts w:eastAsia="Verdana" w:cs="Verdana"/>
        </w:rPr>
        <w:t>Una de las principales lecciones del periodo es que los avances más sostenibles se lograron cuando las iniciativas se articularon con instrumentos de planeación de mediano plazo, como el PETI, la arquitectura empresarial, la gestión de proyectos de TI y los modelos de gobierno de datos. Esto mostró que los resultados no dependen únicamente de desarrollar soluciones tecnológicas o ejecutar actividades puntuales, sino de consolidar capacidades institucionales permanentes, con responsables, hoja de ruta, indicadores y seguimiento.</w:t>
      </w:r>
    </w:p>
    <w:p w14:paraId="3AED617A" w14:textId="12B136FF" w:rsidR="6E2E0DF9" w:rsidRDefault="6E2E0DF9" w:rsidP="6A1C73F1">
      <w:pPr>
        <w:rPr>
          <w:rFonts w:eastAsia="Verdana" w:cs="Verdana"/>
        </w:rPr>
      </w:pPr>
      <w:r w:rsidRPr="6A1C73F1">
        <w:rPr>
          <w:rFonts w:eastAsia="Verdana" w:cs="Verdana"/>
        </w:rPr>
        <w:t>El fortalecimiento del gobierno y gestión de datos mostró que contar con información integrada, interoperable, estandarizada y de calidad mejora significativamente la formulación de política pública, el monitoreo sectorial y la toma de decisiones. La consolidación de plataformas estadísticas y geoespaciales, así como la adopción de lineamientos de gobernanza, evidenció que los datos solo generan valor cuando existen reglas claras sobre su producción, uso, calidad, trazabilidad y aprovechamiento.</w:t>
      </w:r>
      <w:r w:rsidR="30007006" w:rsidRPr="6A1C73F1">
        <w:rPr>
          <w:rFonts w:eastAsia="Verdana" w:cs="Verdana"/>
        </w:rPr>
        <w:t xml:space="preserve"> Una lección aprendida clave es que la consolidación de una estrategia de gobierno de datos requiere una alineación integral entre el marco normativo, la planeación estratégica y la infraestructura tecnológica, asegurando que los datos sean tratados como un activo público estratégico. La experiencia muestra que definir roles claros, adoptar estándares de calidad, interoperabilidad y ética, e integrar iniciativas como infraestructuras de datos estadísticas y geoespaciales permite fortalecer la toma de decisiones basada en evidencia y mejorar la eficiencia institucional. Asimismo, la implementación de sistemas de aseguramiento de calidad, la estandarización metodológica y la articulación con políticas nacionales como la Estrategia Nacional Digital y el PNID son factores determinantes para lograr coherencia, sostenibilidad y generación de valor público.</w:t>
      </w:r>
    </w:p>
    <w:p w14:paraId="23ACCFEB" w14:textId="4D494FC3" w:rsidR="30007006" w:rsidRDefault="30007006" w:rsidP="6A1C73F1">
      <w:pPr>
        <w:rPr>
          <w:rFonts w:eastAsia="Verdana" w:cs="Verdana"/>
        </w:rPr>
      </w:pPr>
      <w:r w:rsidRPr="6A1C73F1">
        <w:rPr>
          <w:rFonts w:eastAsia="Verdana" w:cs="Verdana"/>
        </w:rPr>
        <w:t>Como buena práctica, se destaca la importancia de complementar la gobernanza de datos con el fortalecimiento de capacidades institucionales y la promoción del uso y apropiación de los datos. Iniciativas como programas de formación especializada, espacios de innovación abierta (hackathones) y la adopción de metodologías analíticas estructuradas permiten maximizar el aprovechamiento de la información y fomentar la cultura de datos dentro del sector. Igualmente, la priorización de la soberanía tecnológica, el uso de software libre y la centralización de infraestructuras robustas contribuyen a la resiliencia operativa y a la independencia tecnológica, mientras que la articulación interinstitucional y la apertura de datos fortalecen la transparencia, la participación ciudadana y la generación de soluciones innovadoras con impacto social.</w:t>
      </w:r>
    </w:p>
    <w:p w14:paraId="035A1340" w14:textId="661D9A62" w:rsidR="444630CE" w:rsidRDefault="444630CE" w:rsidP="6A1C73F1">
      <w:pPr>
        <w:rPr>
          <w:rFonts w:eastAsia="Verdana" w:cs="Verdana"/>
        </w:rPr>
      </w:pPr>
      <w:r w:rsidRPr="6A1C73F1">
        <w:rPr>
          <w:rFonts w:eastAsia="Verdana" w:cs="Verdana"/>
        </w:rPr>
        <w:t>Las experiencias de este periodo demostraron que las herramientas digitales generan un verdadero impacto cuando ayudan a hacer los procesos más simples, transparentes y ágiles, facilitando además el acceso a la información para la ciudadanía y los diferentes grupos de valor. Soluciones como el portal web, Intégrame, IDE-ME, la automatización de trámites y otras iniciativas digitales dejaron una enseñanza clara: la innovación no debe pensarse solo desde la tecnología, sino principalmente desde las necesidades reales de las personas que la utilizan.</w:t>
      </w:r>
    </w:p>
    <w:p w14:paraId="244E6EF0" w14:textId="6E0D0DA2" w:rsidR="11D2A892" w:rsidRDefault="11D2A892" w:rsidP="6A1C73F1">
      <w:r>
        <w:br/>
      </w:r>
      <w:commentRangeStart w:id="45"/>
      <w:commentRangeStart w:id="46"/>
      <w:commentRangeStart w:id="47"/>
      <w:commentRangeStart w:id="48"/>
      <w:r w:rsidRPr="76338B12">
        <w:rPr>
          <w:rFonts w:eastAsia="Verdana" w:cs="Verdana"/>
        </w:rPr>
        <w:t>La experiencia demostró que la Arquitectura Empresarial, cuando se aplica con un enfoque sectorial y práctico, es un habilitador clave para transformar la gestión pública y generar valor para la ciudadanía. Su implementación permitió alinear la planeación estratégica, los procesos, la información y la tecnología, reduciendo fragmentación institucional y facilitando decisiones más coherentes y oportunas. Esto se traduce en servicios más integrados, información más confiable y una mayor capacidad del Estado para responder a las necesidades del país.</w:t>
      </w:r>
    </w:p>
    <w:p w14:paraId="3D7B0D1E" w14:textId="0E6F2D02" w:rsidR="11D2A892" w:rsidRDefault="11D2A892" w:rsidP="6A1C73F1">
      <w:r w:rsidRPr="6A1C73F1">
        <w:rPr>
          <w:rFonts w:eastAsia="Verdana" w:cs="Verdana"/>
        </w:rPr>
        <w:t>Se evidenció que la información solo genera bienestar ciudadano cuando es confiable, estandarizada, accesible y utilizada efectivamente. La mejora en la calidad de los datos, la digitalización de documentos y la automatización de reportes redujeron tiempos de respuesta, reprocesos y errores, fortaleciendo la transparencia y facilitando el acceso a información relevante para la toma de decisiones públicas. El enfoque en tableros, reportes automatizados y soluciones centradas en el usuario permitió acercar la información a más actores del sector y, de manera indirecta, a la ciudadanía.</w:t>
      </w:r>
    </w:p>
    <w:p w14:paraId="40F3D8BE" w14:textId="7C303B69" w:rsidR="11D2A892" w:rsidRDefault="11D2A892" w:rsidP="6A1C73F1">
      <w:r w:rsidRPr="6A1C73F1">
        <w:rPr>
          <w:rFonts w:eastAsia="Verdana" w:cs="Verdana"/>
        </w:rPr>
        <w:t>El respaldo activo de la alta dirección fue determinante para destrabar decisiones, priorizar iniciativas y asegurar la continuidad de los proyectos. La creación de instancias de gobernanza, como el Architecture Review Board (ARB), permitió ordenar la toma de decisiones, garantizar coherencia sectorial y dar legitimidad a los lineamientos definidos. Esta gobernanza sólida es clave para que los avances tecnológicos no dependan de personas específicas, sino que se institucionalicen en beneficio de la ciudadanía.</w:t>
      </w:r>
    </w:p>
    <w:p w14:paraId="7F1DDD50" w14:textId="4442F776" w:rsidR="11D2A892" w:rsidRDefault="11D2A892" w:rsidP="6A1C73F1">
      <w:r w:rsidRPr="6A1C73F1">
        <w:rPr>
          <w:rFonts w:eastAsia="Verdana" w:cs="Verdana"/>
        </w:rPr>
        <w:t>La concertación sectorial y el intercambio de información entre entidades demostraron ser fundamentales para evitar esfuerzos aislados y duplicidad de soluciones. Mecanismos como convenios de intercambio de datos y espacios permanentes de coordinación fortalecieron la coherencia sectorial y permitieron ofrecer respuestas más integrales. Esta articulación impacta positivamente al ciudadano al mejorar la eficiencia del Estado y la consistencia de la información que se publica o utiliza para</w:t>
      </w:r>
      <w:r w:rsidR="06D7BE25" w:rsidRPr="6A1C73F1">
        <w:rPr>
          <w:rFonts w:eastAsia="Verdana" w:cs="Verdana"/>
        </w:rPr>
        <w:t xml:space="preserve"> decisiones públicas</w:t>
      </w:r>
    </w:p>
    <w:p w14:paraId="040EEDBE" w14:textId="76CCD538" w:rsidR="06D7BE25" w:rsidRDefault="06D7BE25" w:rsidP="6A1C73F1">
      <w:pPr>
        <w:rPr>
          <w:rFonts w:eastAsia="Verdana" w:cs="Verdana"/>
        </w:rPr>
      </w:pPr>
      <w:r w:rsidRPr="66090B97">
        <w:rPr>
          <w:rFonts w:eastAsia="Verdana" w:cs="Verdana"/>
        </w:rPr>
        <w:t xml:space="preserve">La escucha activa y el acompañamiento cercano a las áreas usuarias </w:t>
      </w:r>
      <w:r w:rsidR="669E2E87" w:rsidRPr="66090B97">
        <w:rPr>
          <w:rFonts w:eastAsia="Verdana" w:cs="Verdana"/>
        </w:rPr>
        <w:t xml:space="preserve">de los desarrollo Intégrame y Avánzame </w:t>
      </w:r>
      <w:r w:rsidRPr="66090B97">
        <w:rPr>
          <w:rFonts w:eastAsia="Verdana" w:cs="Verdana"/>
        </w:rPr>
        <w:t>permitieron construir soluciones más pertinentes, reducir reprocesos y mejorar la experiencia de uso. Cuando los desarrollos tecnológicos parten de necesidades reales y se diseñan con el usuario en el centro, se incrementa su apropiación y se garantiza que las herramientas sean efectivamente utilizadas. Este enfoque es coherente con el dominio de uso y apropiación del MRAE y es esencial para que la tecnología genere beneficios tangibles para la ciudadanía</w:t>
      </w:r>
    </w:p>
    <w:p w14:paraId="4591F502" w14:textId="2425F4B3" w:rsidR="06D7BE25" w:rsidRDefault="06D7BE25" w:rsidP="6A1C73F1">
      <w:pPr>
        <w:rPr>
          <w:rFonts w:eastAsia="Verdana" w:cs="Verdana"/>
        </w:rPr>
      </w:pPr>
      <w:r w:rsidRPr="493B1AFE">
        <w:rPr>
          <w:rFonts w:eastAsia="Verdana" w:cs="Verdana"/>
        </w:rPr>
        <w:t>Las acciones de formación, transferencia de conocimiento y comunicación permanente</w:t>
      </w:r>
      <w:r w:rsidR="4C8D5327" w:rsidRPr="493B1AFE">
        <w:rPr>
          <w:rFonts w:eastAsia="Verdana" w:cs="Verdana"/>
        </w:rPr>
        <w:t xml:space="preserve"> en Intégrame y Avánzame</w:t>
      </w:r>
      <w:r w:rsidRPr="493B1AFE">
        <w:rPr>
          <w:rFonts w:eastAsia="Verdana" w:cs="Verdana"/>
        </w:rPr>
        <w:t xml:space="preserve"> fueron determinantes para intervenir la cultura organizacional y promover el uso efectivo de las herramientas implementadas. La experiencia evidenció que sin capacidades instaladas y sin una cultura orientada al uso de la información, los avances tecnológicos pierden impacto. Fortalecer estas capacidades asegura sostenibilidad, continuidad institucional y mejores resultados para el ciudadano en el mediano y largo plazo</w:t>
      </w:r>
    </w:p>
    <w:p w14:paraId="31FD5803" w14:textId="567BEDA3" w:rsidR="6A1C73F1" w:rsidRDefault="06D7BE25" w:rsidP="74572518">
      <w:pPr>
        <w:rPr>
          <w:rFonts w:eastAsia="Verdana" w:cs="Verdana"/>
        </w:rPr>
      </w:pPr>
      <w:r w:rsidRPr="40038297">
        <w:rPr>
          <w:rFonts w:eastAsia="Verdana" w:cs="Verdana"/>
        </w:rPr>
        <w:t xml:space="preserve">La estabilidad del equipo </w:t>
      </w:r>
      <w:r w:rsidR="4F9A6D8B" w:rsidRPr="40038297">
        <w:rPr>
          <w:rFonts w:eastAsia="Verdana" w:cs="Verdana"/>
        </w:rPr>
        <w:t>a cargo de Integrame</w:t>
      </w:r>
      <w:r w:rsidRPr="40038297">
        <w:rPr>
          <w:rFonts w:eastAsia="Verdana" w:cs="Verdana"/>
        </w:rPr>
        <w:t xml:space="preserve"> permitió preservar la memoria institucional, dar seguimiento efectivo a los compromisos y mantener la coherencia del proceso, incluso en contextos de alta rotación sectorial. Esta continuidad es fundamental para que las iniciativas no se diluyan con los cambios administrativos y sigan generando valor público y beneficios sostenibles para la ciudadanía</w:t>
      </w:r>
      <w:commentRangeEnd w:id="45"/>
      <w:r>
        <w:rPr>
          <w:rStyle w:val="CommentReference"/>
          <w:rFonts w:eastAsia="Verdana" w:cs="Verdana"/>
          <w:sz w:val="22"/>
          <w:szCs w:val="22"/>
        </w:rPr>
        <w:commentReference w:id="45"/>
      </w:r>
      <w:commentRangeEnd w:id="46"/>
      <w:r>
        <w:rPr>
          <w:rStyle w:val="CommentReference"/>
          <w:rFonts w:eastAsia="Verdana" w:cs="Verdana"/>
          <w:sz w:val="22"/>
          <w:szCs w:val="22"/>
        </w:rPr>
        <w:commentReference w:id="46"/>
      </w:r>
      <w:commentRangeEnd w:id="47"/>
      <w:r>
        <w:rPr>
          <w:rStyle w:val="CommentReference"/>
          <w:rFonts w:eastAsia="Verdana" w:cs="Verdana"/>
          <w:sz w:val="22"/>
          <w:szCs w:val="22"/>
        </w:rPr>
        <w:commentReference w:id="47"/>
      </w:r>
      <w:commentRangeEnd w:id="48"/>
      <w:r>
        <w:rPr>
          <w:rStyle w:val="CommentReference"/>
          <w:rFonts w:eastAsia="Verdana" w:cs="Verdana"/>
          <w:sz w:val="22"/>
          <w:szCs w:val="22"/>
        </w:rPr>
        <w:commentReference w:id="48"/>
      </w:r>
    </w:p>
    <w:p w14:paraId="24E66034" w14:textId="381B2F4F" w:rsidR="6A1C73F1" w:rsidRDefault="6A1C73F1" w:rsidP="74572518">
      <w:pPr>
        <w:rPr>
          <w:rFonts w:eastAsia="Verdana" w:cs="Verdana"/>
        </w:rPr>
      </w:pPr>
    </w:p>
    <w:p w14:paraId="1B342DB0" w14:textId="77777777" w:rsidR="00A6004B" w:rsidRPr="004A2840" w:rsidRDefault="00A6004B" w:rsidP="0060060B">
      <w:pPr>
        <w:pStyle w:val="Heading1"/>
      </w:pPr>
      <w:r w:rsidRPr="004A2840">
        <w:t>CIERRE</w:t>
      </w:r>
      <w:r w:rsidRPr="004A2840">
        <w:tab/>
      </w:r>
    </w:p>
    <w:p w14:paraId="3E78D4DB" w14:textId="1FC4F2A8" w:rsidR="006D30CA" w:rsidRPr="004A2840" w:rsidRDefault="00001977" w:rsidP="0060060B">
      <w:r>
        <w:t>Presente un mensaje final que sintetice los principales resultados de la gestión del Ministerio durante el cuatrienio agosto de 2022 a marzo de 2026, destacando los avances más relevantes, el estado actual de los procesos y su proyección. Este apartado debe cerrar el informe de manera clara, institucional y estratégica, reforzando la continuidad de la gestión y la relación con la ciudadanía</w:t>
      </w:r>
      <w:r w:rsidR="006D30CA">
        <w:t>.</w:t>
      </w:r>
      <w:r w:rsidR="06012030">
        <w:t xml:space="preserve"> </w:t>
      </w:r>
    </w:p>
    <w:p w14:paraId="2E10E5E2" w14:textId="71247CCA" w:rsidR="008F4FD3" w:rsidRPr="004A2840" w:rsidRDefault="00A6004B" w:rsidP="0060060B">
      <w:pPr>
        <w:pStyle w:val="Heading2"/>
      </w:pPr>
      <w:r w:rsidRPr="002E6D61">
        <w:t xml:space="preserve">Canales y medios de contacto - Telefónico, presencial, agendamiento </w:t>
      </w:r>
      <w:r w:rsidRPr="004A2840">
        <w:t>web, Correo Electrónico</w:t>
      </w:r>
    </w:p>
    <w:p w14:paraId="1CEE860B" w14:textId="3871B250" w:rsidR="00001977" w:rsidRPr="00CA2B45" w:rsidRDefault="33551471" w:rsidP="0060060B">
      <w:r>
        <w:t>Indicar</w:t>
      </w:r>
      <w:r w:rsidR="00001977">
        <w:t xml:space="preserve"> los canales oficiales de atención del Ministerio, especificando los medios telefónicos, presenciales, virtuales (agendamiento web) y electrónicos disponibles. Incluya información clara, actualizada y accesible para la ciudadanía, con el fin de facilitar el acceso a los servicios y la comunicación con la entidad.</w:t>
      </w:r>
    </w:p>
    <w:sectPr w:rsidR="00001977" w:rsidRPr="00CA2B45">
      <w:headerReference w:type="default" r:id="rId19"/>
      <w:footerReference w:type="default" r:id="rId20"/>
      <w:headerReference w:type="first" r:id="rId21"/>
      <w:footerReference w:type="first" r:id="rId22"/>
      <w:pgSz w:w="12240" w:h="15840"/>
      <w:pgMar w:top="1417" w:right="1701" w:bottom="2160"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VIVIANA YILENA MONROY PRECIADO" w:date="2026-04-27T15:17:00Z" w:initials="VP">
    <w:p w14:paraId="35934B6E" w14:textId="5345DD57" w:rsidR="009A11B3" w:rsidRDefault="009A11B3">
      <w:r>
        <w:annotationRef/>
      </w:r>
      <w:r>
        <w:fldChar w:fldCharType="begin"/>
      </w:r>
      <w:r>
        <w:instrText xml:space="preserve"> HYPERLINK "mailto:jfchaparro@minenergia.gov.co"</w:instrText>
      </w:r>
      <w:bookmarkStart w:id="1" w:name="_@_3B1CEFFEDFD240EDB8B91871FBB91615Z"/>
      <w:r>
        <w:fldChar w:fldCharType="separate"/>
      </w:r>
      <w:bookmarkEnd w:id="1"/>
      <w:r w:rsidRPr="4F3319F6">
        <w:rPr>
          <w:noProof/>
        </w:rPr>
        <w:t>@JHON FAUSTINO CHAPARRO SIERRA</w:t>
      </w:r>
      <w:r>
        <w:fldChar w:fldCharType="end"/>
      </w:r>
      <w:r w:rsidRPr="01B96A69">
        <w:t xml:space="preserve"> </w:t>
      </w:r>
      <w:r>
        <w:fldChar w:fldCharType="begin"/>
      </w:r>
      <w:r>
        <w:instrText xml:space="preserve"> HYPERLINK "mailto:dpenaranda@minenergia.gov.co"</w:instrText>
      </w:r>
      <w:bookmarkStart w:id="2" w:name="_@_F171CFC87DE84DE58F1EF885018B3A88Z"/>
      <w:r>
        <w:fldChar w:fldCharType="separate"/>
      </w:r>
      <w:bookmarkEnd w:id="2"/>
      <w:r w:rsidRPr="322351B0">
        <w:rPr>
          <w:noProof/>
        </w:rPr>
        <w:t>@DANILO PEÑARANDA CASTILLA</w:t>
      </w:r>
      <w:r>
        <w:fldChar w:fldCharType="end"/>
      </w:r>
      <w:r w:rsidRPr="31460CEE">
        <w:t xml:space="preserve"> </w:t>
      </w:r>
      <w:r>
        <w:fldChar w:fldCharType="begin"/>
      </w:r>
      <w:r>
        <w:instrText xml:space="preserve"> HYPERLINK "mailto:ejamaya@minenergia.gov.co"</w:instrText>
      </w:r>
      <w:bookmarkStart w:id="3" w:name="_@_0BA64ADC7B394AFFA900FEB12D1C1C9DZ"/>
      <w:r>
        <w:fldChar w:fldCharType="separate"/>
      </w:r>
      <w:bookmarkEnd w:id="3"/>
      <w:r w:rsidRPr="1246DBE7">
        <w:rPr>
          <w:noProof/>
        </w:rPr>
        <w:t>@EDEL JOSE AMAYA PEREZ</w:t>
      </w:r>
      <w:r>
        <w:fldChar w:fldCharType="end"/>
      </w:r>
      <w:r w:rsidRPr="5CC78975">
        <w:t xml:space="preserve"> </w:t>
      </w:r>
    </w:p>
  </w:comment>
  <w:comment w:id="4" w:author="VIVIANA YILENA MONROY PRECIADO" w:date="2026-04-27T15:18:00Z" w:initials="VP">
    <w:p w14:paraId="1AB7D3D3" w14:textId="5C2C9E91" w:rsidR="009A11B3" w:rsidRDefault="009A11B3">
      <w:r>
        <w:annotationRef/>
      </w:r>
      <w:r>
        <w:fldChar w:fldCharType="begin"/>
      </w:r>
      <w:r>
        <w:instrText xml:space="preserve"> HYPERLINK "mailto:oframirez@minenergia.gov.co"</w:instrText>
      </w:r>
      <w:bookmarkStart w:id="7" w:name="_@_F842CBBC681148EDADD79EE6E752A5C8Z"/>
      <w:r>
        <w:fldChar w:fldCharType="separate"/>
      </w:r>
      <w:bookmarkEnd w:id="7"/>
      <w:r w:rsidRPr="47C4F712">
        <w:rPr>
          <w:noProof/>
        </w:rPr>
        <w:t>@OSCAR FABIAN RAMIREZ TORRES</w:t>
      </w:r>
      <w:r>
        <w:fldChar w:fldCharType="end"/>
      </w:r>
      <w:r w:rsidRPr="783A03AD">
        <w:t xml:space="preserve"> </w:t>
      </w:r>
      <w:r>
        <w:fldChar w:fldCharType="begin"/>
      </w:r>
      <w:r>
        <w:instrText xml:space="preserve"> HYPERLINK "mailto:osanchez@minenergia.gov.co"</w:instrText>
      </w:r>
      <w:bookmarkStart w:id="8" w:name="_@_71C0CEDF21274801A5D54E2E98DBCCE6Z"/>
      <w:r>
        <w:fldChar w:fldCharType="separate"/>
      </w:r>
      <w:bookmarkEnd w:id="8"/>
      <w:r w:rsidRPr="2D98BEE4">
        <w:rPr>
          <w:noProof/>
        </w:rPr>
        <w:t>@OSCAR SANCHEZ SANCHEZ</w:t>
      </w:r>
      <w:r>
        <w:fldChar w:fldCharType="end"/>
      </w:r>
      <w:r w:rsidRPr="646D24D3">
        <w:t xml:space="preserve"> </w:t>
      </w:r>
    </w:p>
  </w:comment>
  <w:comment w:id="5" w:author="OSCAR SANCHEZ SANCHEZ" w:date="2026-05-07T10:38:00Z" w:initials="OS">
    <w:p w14:paraId="32EE66AA" w14:textId="56138F17" w:rsidR="00B5371F" w:rsidRDefault="00B5371F">
      <w:pPr>
        <w:pStyle w:val="CommentText"/>
      </w:pPr>
      <w:r>
        <w:rPr>
          <w:rStyle w:val="CommentReference"/>
        </w:rPr>
        <w:annotationRef/>
      </w:r>
      <w:r w:rsidRPr="6B6E9DE6">
        <w:t>En color verde los aportes</w:t>
      </w:r>
    </w:p>
  </w:comment>
  <w:comment w:id="6" w:author="OSCAR FABIAN RAMIREZ TORRES" w:date="2026-05-07T10:40:00Z" w:initials="OFRT">
    <w:p w14:paraId="1D688E77" w14:textId="77777777" w:rsidR="00FA3BF6" w:rsidRDefault="00FA3BF6" w:rsidP="00FA3BF6">
      <w:pPr>
        <w:jc w:val="left"/>
      </w:pPr>
      <w:r>
        <w:rPr>
          <w:rStyle w:val="CommentReference"/>
        </w:rPr>
        <w:annotationRef/>
      </w:r>
      <w:r>
        <w:rPr>
          <w:sz w:val="20"/>
          <w:szCs w:val="20"/>
        </w:rPr>
        <w:t>Hecho lo correspondiente a 2025 y 2026</w:t>
      </w:r>
    </w:p>
  </w:comment>
  <w:comment w:id="9" w:author="VIVIANA YILENA MONROY PRECIADO" w:date="2026-05-07T11:34:00Z" w:initials="VP">
    <w:p w14:paraId="6B55DFCE" w14:textId="620060AF" w:rsidR="00A35856" w:rsidRDefault="00A35856">
      <w:pPr>
        <w:pStyle w:val="CommentText"/>
      </w:pPr>
      <w:r>
        <w:rPr>
          <w:rStyle w:val="CommentReference"/>
        </w:rPr>
        <w:annotationRef/>
      </w:r>
      <w:r w:rsidRPr="3DA9B6CD">
        <w:t>@osanchez@minenergia.gov.co</w:t>
      </w:r>
    </w:p>
  </w:comment>
  <w:comment w:id="10" w:author="VIVIANA YILENA MONROY PRECIADO" w:date="2026-05-07T11:34:00Z" w:initials="VP">
    <w:p w14:paraId="7EEA91D7" w14:textId="51BFAD36" w:rsidR="00A35856" w:rsidRDefault="00A35856">
      <w:pPr>
        <w:pStyle w:val="CommentText"/>
      </w:pPr>
      <w:r>
        <w:rPr>
          <w:rStyle w:val="CommentReference"/>
        </w:rPr>
        <w:annotationRef/>
      </w:r>
      <w:r w:rsidRPr="1BE8E847">
        <w:t>favor revisar po9rque es un periodo estandar</w:t>
      </w:r>
    </w:p>
    <w:p w14:paraId="53B23430" w14:textId="4E475145" w:rsidR="00A35856" w:rsidRDefault="00A35856">
      <w:pPr>
        <w:pStyle w:val="CommentText"/>
      </w:pPr>
    </w:p>
  </w:comment>
  <w:comment w:id="11" w:author="VIVIANA YILENA MONROY PRECIADO" w:date="2026-04-27T15:19:00Z" w:initials="VP">
    <w:p w14:paraId="529BADD6" w14:textId="34A7FCFD" w:rsidR="009A11B3" w:rsidRDefault="009A11B3">
      <w:r>
        <w:annotationRef/>
      </w:r>
      <w:r>
        <w:fldChar w:fldCharType="begin"/>
      </w:r>
      <w:r>
        <w:instrText xml:space="preserve"> HYPERLINK "mailto:dfurbano@minenergia.gov.co"</w:instrText>
      </w:r>
      <w:bookmarkStart w:id="12" w:name="_@_B1D300F71AEF45B1BB4FCDB3ECDC57A3Z"/>
      <w:r>
        <w:fldChar w:fldCharType="separate"/>
      </w:r>
      <w:bookmarkEnd w:id="12"/>
      <w:r w:rsidRPr="41B9614E">
        <w:rPr>
          <w:noProof/>
        </w:rPr>
        <w:t>@DIEGO FERNANDO URBANO CHAVES</w:t>
      </w:r>
      <w:r>
        <w:fldChar w:fldCharType="end"/>
      </w:r>
      <w:r w:rsidRPr="1E369456">
        <w:t xml:space="preserve"> </w:t>
      </w:r>
    </w:p>
  </w:comment>
  <w:comment w:id="13" w:author="VIVIANA YILENA MONROY PRECIADO" w:date="2026-05-07T11:30:00Z" w:initials="VP">
    <w:p w14:paraId="441E2A8D" w14:textId="69137D8F" w:rsidR="001A33B0" w:rsidRDefault="001A33B0">
      <w:pPr>
        <w:pStyle w:val="CommentText"/>
      </w:pPr>
      <w:r>
        <w:rPr>
          <w:rStyle w:val="CommentReference"/>
        </w:rPr>
        <w:annotationRef/>
      </w:r>
      <w:r>
        <w:fldChar w:fldCharType="begin"/>
      </w:r>
      <w:r>
        <w:instrText xml:space="preserve"> HYPERLINK "mailto:jfchaparro@minenergia.gov.co"</w:instrText>
      </w:r>
      <w:bookmarkStart w:id="17" w:name="_@_EF43DBB182624B6D8FB46351B018B544Z"/>
      <w:r>
        <w:fldChar w:fldCharType="separate"/>
      </w:r>
      <w:bookmarkEnd w:id="17"/>
      <w:r w:rsidRPr="3CC5ED89">
        <w:rPr>
          <w:noProof/>
        </w:rPr>
        <w:t>@JHON FAUSTINO CHAPARRO SIERRA</w:t>
      </w:r>
      <w:r>
        <w:fldChar w:fldCharType="end"/>
      </w:r>
      <w:r w:rsidRPr="34C37AB1">
        <w:t xml:space="preserve"> </w:t>
      </w:r>
      <w:r>
        <w:fldChar w:fldCharType="begin"/>
      </w:r>
      <w:r>
        <w:instrText xml:space="preserve"> HYPERLINK "mailto:ejamaya@minenergia.gov.co"</w:instrText>
      </w:r>
      <w:bookmarkStart w:id="18" w:name="_@_AD4D9431B8F648FAB6535CADF0111362Z"/>
      <w:r>
        <w:fldChar w:fldCharType="separate"/>
      </w:r>
      <w:bookmarkEnd w:id="18"/>
      <w:r w:rsidRPr="139A9B40">
        <w:rPr>
          <w:noProof/>
        </w:rPr>
        <w:t>@EDEL JOSE AMAYA PEREZ</w:t>
      </w:r>
      <w:r>
        <w:fldChar w:fldCharType="end"/>
      </w:r>
      <w:r w:rsidRPr="4B2413FE">
        <w:t xml:space="preserve"> se validó esta información actualizada para el 2026</w:t>
      </w:r>
    </w:p>
  </w:comment>
  <w:comment w:id="14" w:author="VIVIANA YILENA MONROY PRECIADO" w:date="2026-05-07T11:38:00Z" w:initials="VP">
    <w:p w14:paraId="11C47473" w14:textId="0F693686" w:rsidR="00CB3B39" w:rsidRDefault="00CB3B39">
      <w:pPr>
        <w:pStyle w:val="CommentText"/>
      </w:pPr>
      <w:r>
        <w:rPr>
          <w:rStyle w:val="CommentReference"/>
        </w:rPr>
        <w:annotationRef/>
      </w:r>
      <w:r>
        <w:fldChar w:fldCharType="begin"/>
      </w:r>
      <w:r>
        <w:instrText xml:space="preserve"> HYPERLINK "mailto:dfurbano@minenergia.gov.co"</w:instrText>
      </w:r>
      <w:bookmarkStart w:id="19" w:name="_@_729F6A7DE6944D7B9BCE011006F08AF6Z"/>
      <w:r>
        <w:fldChar w:fldCharType="separate"/>
      </w:r>
      <w:bookmarkEnd w:id="19"/>
      <w:r w:rsidRPr="77A817BD">
        <w:rPr>
          <w:noProof/>
        </w:rPr>
        <w:t>@DIEGO FERNANDO URBANO CHAVES</w:t>
      </w:r>
      <w:r>
        <w:fldChar w:fldCharType="end"/>
      </w:r>
      <w:r w:rsidRPr="478F3846">
        <w:t xml:space="preserve"> Hola dieguito podemos poner en la vigencia 2026 el catálogo que dejamos para empalme?</w:t>
      </w:r>
    </w:p>
  </w:comment>
  <w:comment w:id="15" w:author="JHON FAUSTINO CHAPARRO SIERRA" w:date="2026-05-07T11:39:00Z" w:initials="JS">
    <w:p w14:paraId="3AA9186C" w14:textId="3FAD1CE1" w:rsidR="007E07A3" w:rsidRDefault="007E07A3">
      <w:pPr>
        <w:pStyle w:val="CommentText"/>
      </w:pPr>
      <w:r>
        <w:rPr>
          <w:rStyle w:val="CommentReference"/>
        </w:rPr>
        <w:annotationRef/>
      </w:r>
      <w:r>
        <w:fldChar w:fldCharType="begin"/>
      </w:r>
      <w:r>
        <w:instrText xml:space="preserve"> HYPERLINK "mailto:vymonroy@minenergia.gov.co"</w:instrText>
      </w:r>
      <w:bookmarkStart w:id="20" w:name="_@_0FA0890B427D4C9E8A57701A2BFA4E7FZ"/>
      <w:r>
        <w:fldChar w:fldCharType="separate"/>
      </w:r>
      <w:bookmarkEnd w:id="20"/>
      <w:r w:rsidRPr="042E20DD">
        <w:rPr>
          <w:noProof/>
        </w:rPr>
        <w:t>@VIVIANA YILENA MONROY PRECIADO</w:t>
      </w:r>
      <w:r>
        <w:fldChar w:fldCharType="end"/>
      </w:r>
      <w:r w:rsidRPr="6A7AD2DA">
        <w:t xml:space="preserve"> Como te comenté por llamada este catálogo actualizado lo tiene MRAE con las últimas observaciones que hice hace un par de semanas de los que se deben depurar, este anexo lo podría adjuntar </w:t>
      </w:r>
      <w:r>
        <w:fldChar w:fldCharType="begin"/>
      </w:r>
      <w:r>
        <w:instrText xml:space="preserve"> HYPERLINK "mailto:dfurbano@minenergia.gov.co"</w:instrText>
      </w:r>
      <w:bookmarkStart w:id="21" w:name="_@_EDA8A3A8B04246F280576AEB185D1E3BZ"/>
      <w:r>
        <w:fldChar w:fldCharType="separate"/>
      </w:r>
      <w:bookmarkEnd w:id="21"/>
      <w:r w:rsidRPr="7D336007">
        <w:rPr>
          <w:noProof/>
        </w:rPr>
        <w:t>@DIEGO FERNANDO URBANO CHAVES</w:t>
      </w:r>
      <w:r>
        <w:fldChar w:fldCharType="end"/>
      </w:r>
      <w:r w:rsidRPr="702A1414">
        <w:t xml:space="preserve"> de igual forma si se tiene una observación estaría al pendiente para complementarla.</w:t>
      </w:r>
    </w:p>
  </w:comment>
  <w:comment w:id="16" w:author="DIEGO FERNANDO URBANO CHAVES" w:date="2026-05-07T16:28:00Z" w:initials="DC">
    <w:p w14:paraId="308E93BD" w14:textId="6B3B833D" w:rsidR="00CA17B0" w:rsidRDefault="00CA17B0">
      <w:pPr>
        <w:pStyle w:val="CommentText"/>
      </w:pPr>
      <w:r>
        <w:rPr>
          <w:rStyle w:val="CommentReference"/>
        </w:rPr>
        <w:annotationRef/>
      </w:r>
      <w:r w:rsidRPr="11E80BBA">
        <w:t>Si señora, ese es el que debe ir aquí. Ya está ajustado.</w:t>
      </w:r>
    </w:p>
  </w:comment>
  <w:comment w:id="22" w:author="VIVIANA YILENA MONROY PRECIADO" w:date="2026-05-07T11:29:00Z" w:initials="VP">
    <w:p w14:paraId="09455622" w14:textId="0757E874" w:rsidR="00364941" w:rsidRDefault="00364941">
      <w:pPr>
        <w:pStyle w:val="CommentText"/>
      </w:pPr>
      <w:r>
        <w:rPr>
          <w:rStyle w:val="CommentReference"/>
        </w:rPr>
        <w:annotationRef/>
      </w:r>
      <w:r>
        <w:fldChar w:fldCharType="begin"/>
      </w:r>
      <w:r>
        <w:instrText xml:space="preserve"> HYPERLINK "mailto:dfurbano@minenergia.gov.co"</w:instrText>
      </w:r>
      <w:bookmarkStart w:id="23" w:name="_@_18057493C29D4B1197886C746BF9AEF2Z"/>
      <w:r>
        <w:fldChar w:fldCharType="separate"/>
      </w:r>
      <w:bookmarkEnd w:id="23"/>
      <w:r w:rsidRPr="188688B0">
        <w:rPr>
          <w:noProof/>
        </w:rPr>
        <w:t>@DIEGO FERNANDO URBANO CHAVES</w:t>
      </w:r>
      <w:r>
        <w:fldChar w:fldCharType="end"/>
      </w:r>
      <w:r w:rsidRPr="2B965DCA">
        <w:t xml:space="preserve"> si hablamos por periodos por qué hay partes que dicen vigencia 2025 y vigencia 2026</w:t>
      </w:r>
    </w:p>
  </w:comment>
  <w:comment w:id="24" w:author="DIEGO FERNANDO URBANO CHAVES" w:date="2026-04-29T16:33:00Z" w:initials="DC">
    <w:p w14:paraId="5047B1D2" w14:textId="632765A1" w:rsidR="00380D65" w:rsidRDefault="00380D65">
      <w:pPr>
        <w:pStyle w:val="CommentText"/>
      </w:pPr>
      <w:r>
        <w:rPr>
          <w:rStyle w:val="CommentReference"/>
        </w:rPr>
        <w:annotationRef/>
      </w:r>
      <w:r w:rsidRPr="3DCA25E5">
        <w:t>Articular con los líderes de las iniciativas:</w:t>
      </w:r>
    </w:p>
    <w:p w14:paraId="2A39C0AC" w14:textId="686E10EF" w:rsidR="00380D65" w:rsidRDefault="00380D65">
      <w:pPr>
        <w:pStyle w:val="CommentText"/>
      </w:pPr>
      <w:r w:rsidRPr="248A7C7A">
        <w:t>- Implementación del PETI Sectorial (Juan Carlos Tribin (Explicar la estructura de las líneas estratégicas del PETI Sectorial y de las cadenas de valor)</w:t>
      </w:r>
    </w:p>
    <w:p w14:paraId="5119EB01" w14:textId="6DA4CA9A" w:rsidR="00380D65" w:rsidRDefault="00380D65">
      <w:pPr>
        <w:pStyle w:val="CommentText"/>
      </w:pPr>
      <w:r w:rsidRPr="52B843CF">
        <w:t>- Políticas y estándares (Jorge Lozano)</w:t>
      </w:r>
    </w:p>
    <w:p w14:paraId="26063F4D" w14:textId="05A9CB6A" w:rsidR="00380D65" w:rsidRDefault="00380D65">
      <w:pPr>
        <w:pStyle w:val="CommentText"/>
      </w:pPr>
      <w:r w:rsidRPr="566FDA8B">
        <w:t>- Infraestructura y servicios (Joan)</w:t>
      </w:r>
    </w:p>
    <w:p w14:paraId="1AD5713F" w14:textId="0F34BB89" w:rsidR="00380D65" w:rsidRDefault="00380D65">
      <w:pPr>
        <w:pStyle w:val="CommentText"/>
      </w:pPr>
      <w:r w:rsidRPr="53459E4A">
        <w:t>- Innovación (Harvy)</w:t>
      </w:r>
    </w:p>
  </w:comment>
  <w:comment w:id="26" w:author="DIEGO FERNANDO URBANO CHAVES" w:date="2026-04-30T14:25:00Z" w:initials="DC">
    <w:p w14:paraId="3B51D508" w14:textId="3249EEA6" w:rsidR="00C57B0A" w:rsidRDefault="00C57B0A">
      <w:pPr>
        <w:pStyle w:val="CommentText"/>
      </w:pPr>
      <w:r>
        <w:rPr>
          <w:rStyle w:val="CommentReference"/>
        </w:rPr>
        <w:annotationRef/>
      </w:r>
      <w:r>
        <w:fldChar w:fldCharType="begin"/>
      </w:r>
      <w:r>
        <w:instrText xml:space="preserve"> HYPERLINK "mailto:gavallejo@minenergia.gov.co"</w:instrText>
      </w:r>
      <w:bookmarkStart w:id="27" w:name="_@_65E66DABB8DC45939FC175B1CF6EE701Z"/>
      <w:r>
        <w:fldChar w:fldCharType="separate"/>
      </w:r>
      <w:bookmarkEnd w:id="27"/>
      <w:r w:rsidRPr="603207D4">
        <w:rPr>
          <w:noProof/>
        </w:rPr>
        <w:t>@GUILLERMO ALBERTO VALLEJO MESA</w:t>
      </w:r>
      <w:r>
        <w:fldChar w:fldCharType="end"/>
      </w:r>
      <w:r w:rsidRPr="1011E634">
        <w:t xml:space="preserve"> Aquí se debe registrar el avance en los temas de gobierno de datos teniendo en cuenta lo que se registró previamente en el documento que está ya transcrito.</w:t>
      </w:r>
    </w:p>
  </w:comment>
  <w:comment w:id="25" w:author="DIEGO FERNANDO URBANO CHAVES" w:date="2026-05-08T09:53:00Z" w:initials="DC">
    <w:p w14:paraId="01D27698" w14:textId="1722838E" w:rsidR="00E55ADB" w:rsidRDefault="00E55ADB">
      <w:pPr>
        <w:pStyle w:val="CommentText"/>
      </w:pPr>
      <w:r>
        <w:rPr>
          <w:rStyle w:val="CommentReference"/>
        </w:rPr>
        <w:annotationRef/>
      </w:r>
      <w:r>
        <w:fldChar w:fldCharType="begin"/>
      </w:r>
      <w:r>
        <w:instrText xml:space="preserve"> HYPERLINK "mailto:jelozano@minenergia.gov.co"</w:instrText>
      </w:r>
      <w:bookmarkStart w:id="28" w:name="_@_39A5ABFA6A9647A4A6D717439DBF3A33Z"/>
      <w:r>
        <w:fldChar w:fldCharType="separate"/>
      </w:r>
      <w:bookmarkEnd w:id="28"/>
      <w:r w:rsidRPr="0EFCE1BB">
        <w:rPr>
          <w:noProof/>
        </w:rPr>
        <w:t>@JORGE ELIECER LOZANO OSPINA</w:t>
      </w:r>
      <w:r>
        <w:fldChar w:fldCharType="end"/>
      </w:r>
      <w:r w:rsidRPr="0DF64D28">
        <w:t xml:space="preserve"> Por favor reducir el texto de acuerdo a lo conversado. Tratar que so sobrepase 8 párrafos. </w:t>
      </w:r>
      <w:r>
        <w:fldChar w:fldCharType="begin"/>
      </w:r>
      <w:r>
        <w:instrText xml:space="preserve"> HYPERLINK "mailto:daquiroga@minenergia.gov.co"</w:instrText>
      </w:r>
      <w:bookmarkStart w:id="29" w:name="_@_D2F4190C5FEB48819F28B07D792A137AZ"/>
      <w:r>
        <w:fldChar w:fldCharType="separate"/>
      </w:r>
      <w:bookmarkEnd w:id="29"/>
      <w:r w:rsidRPr="074C6950">
        <w:rPr>
          <w:noProof/>
        </w:rPr>
        <w:t>@DIEGO ARMANDO QUIROGA SOSA</w:t>
      </w:r>
      <w:r>
        <w:fldChar w:fldCharType="end"/>
      </w:r>
      <w:r w:rsidRPr="6E34BD0F">
        <w:t xml:space="preserve"> si quieres te puedo enviar una propuesta para que la revisen.</w:t>
      </w:r>
    </w:p>
  </w:comment>
  <w:comment w:id="31" w:author="DIEGO FERNANDO URBANO CHAVES" w:date="2026-04-30T14:26:00Z" w:initials="DC">
    <w:p w14:paraId="685C1385" w14:textId="7F4CE10F" w:rsidR="00C57B0A" w:rsidRDefault="00C57B0A">
      <w:pPr>
        <w:pStyle w:val="CommentText"/>
      </w:pPr>
      <w:r>
        <w:rPr>
          <w:rStyle w:val="CommentReference"/>
        </w:rPr>
        <w:annotationRef/>
      </w:r>
      <w:r>
        <w:fldChar w:fldCharType="begin"/>
      </w:r>
      <w:r>
        <w:instrText xml:space="preserve"> HYPERLINK "mailto:gavallejo@minenergia.gov.co"</w:instrText>
      </w:r>
      <w:bookmarkStart w:id="32" w:name="_@_B5C5D53934674E70BCF7CA01EA2019D2Z"/>
      <w:r>
        <w:fldChar w:fldCharType="separate"/>
      </w:r>
      <w:bookmarkEnd w:id="32"/>
      <w:r w:rsidRPr="2B150308">
        <w:rPr>
          <w:noProof/>
        </w:rPr>
        <w:t>@GUILLERMO ALBERTO VALLEJO MESA</w:t>
      </w:r>
      <w:r>
        <w:fldChar w:fldCharType="end"/>
      </w:r>
      <w:r w:rsidRPr="01FD960E">
        <w:t xml:space="preserve"> Aquí se debe registrar el avance en el centro de monitoreo teniendo en cuenta lo descrito previamente en el documento.</w:t>
      </w:r>
    </w:p>
  </w:comment>
  <w:comment w:id="30" w:author="DIEGO FERNANDO URBANO CHAVES" w:initials="DC">
    <w:p w14:paraId="66EF1E77" w14:textId="60CCADAB" w:rsidR="00277D9B" w:rsidRDefault="00277D9B">
      <w:pPr>
        <w:pStyle w:val="CommentText"/>
      </w:pPr>
      <w:r>
        <w:rPr>
          <w:rStyle w:val="CommentReference"/>
        </w:rPr>
        <w:annotationRef/>
      </w:r>
      <w:r>
        <w:fldChar w:fldCharType="begin"/>
      </w:r>
      <w:r>
        <w:instrText xml:space="preserve"> HYPERLINK "mailto:jrcarvajal@minenergia.gov.co"</w:instrText>
      </w:r>
      <w:bookmarkStart w:id="33" w:name="_@_318E817BD0984F63A5BEDED3948ED1CBZ"/>
      <w:r>
        <w:fldChar w:fldCharType="separate"/>
      </w:r>
      <w:bookmarkEnd w:id="33"/>
      <w:r w:rsidRPr="682753DA">
        <w:rPr>
          <w:noProof/>
        </w:rPr>
        <w:t>@JOAN RENE CARVAJAL RAMIREZ</w:t>
      </w:r>
      <w:r>
        <w:fldChar w:fldCharType="end"/>
      </w:r>
      <w:r w:rsidRPr="17959978">
        <w:t xml:space="preserve"> Por favor puedes describir en forma de logros los temas del centro de monitoreo dado que en los años previos se planteaba como una iniciativa en desarrollo. La idea es que aquí se muestre el avance de lo implementado a Julio de 2026</w:t>
      </w:r>
    </w:p>
  </w:comment>
  <w:comment w:id="34" w:author="DIEGO FERNANDO URBANO CHAVES" w:date="2026-04-29T16:33:00Z" w:initials="DC">
    <w:p w14:paraId="10AE437E" w14:textId="068819CD" w:rsidR="001A3ECD" w:rsidRDefault="001A3ECD">
      <w:pPr>
        <w:pStyle w:val="CommentText"/>
      </w:pPr>
      <w:r>
        <w:rPr>
          <w:rStyle w:val="CommentReference"/>
        </w:rPr>
        <w:annotationRef/>
      </w:r>
      <w:r>
        <w:fldChar w:fldCharType="begin"/>
      </w:r>
      <w:r>
        <w:instrText xml:space="preserve"> HYPERLINK "mailto:segomez@minenergia.gov.co"</w:instrText>
      </w:r>
      <w:bookmarkStart w:id="35" w:name="_@_5D1160BD2B21428F9544B067B4B9B89FZ"/>
      <w:r>
        <w:fldChar w:fldCharType="separate"/>
      </w:r>
      <w:bookmarkEnd w:id="35"/>
      <w:r w:rsidRPr="6E030F39">
        <w:rPr>
          <w:noProof/>
        </w:rPr>
        <w:t>@SOFIA ELIZABETH GOMEZ MUÑOZ</w:t>
      </w:r>
      <w:r>
        <w:fldChar w:fldCharType="end"/>
      </w:r>
      <w:r w:rsidRPr="30026025">
        <w:t xml:space="preserve"> </w:t>
      </w:r>
    </w:p>
  </w:comment>
  <w:comment w:id="36" w:author="DIEGO FERNANDO URBANO CHAVES" w:date="2026-04-29T16:35:00Z" w:initials="DC">
    <w:p w14:paraId="0D887CAE" w14:textId="49FA8107" w:rsidR="00843766" w:rsidRDefault="00843766">
      <w:pPr>
        <w:pStyle w:val="CommentText"/>
      </w:pPr>
      <w:r>
        <w:rPr>
          <w:rStyle w:val="CommentReference"/>
        </w:rPr>
        <w:annotationRef/>
      </w:r>
      <w:r>
        <w:fldChar w:fldCharType="begin"/>
      </w:r>
      <w:r>
        <w:instrText xml:space="preserve"> HYPERLINK "mailto:cmmontenegro@minenergia.gov.co"</w:instrText>
      </w:r>
      <w:bookmarkStart w:id="37" w:name="_@_A70A7A7D4A48418D94AB8E27BA551939Z"/>
      <w:r>
        <w:fldChar w:fldCharType="separate"/>
      </w:r>
      <w:bookmarkEnd w:id="37"/>
      <w:r w:rsidRPr="622F0462">
        <w:rPr>
          <w:noProof/>
        </w:rPr>
        <w:t>@CARLOS MAURICIO MONTENEGRO HERNANDEZ</w:t>
      </w:r>
      <w:r>
        <w:fldChar w:fldCharType="end"/>
      </w:r>
      <w:r w:rsidRPr="38A22F26">
        <w:t xml:space="preserve"> </w:t>
      </w:r>
    </w:p>
  </w:comment>
  <w:comment w:id="38" w:author="VIVIANA YILENA MONROY PRECIADO" w:date="2026-05-07T11:25:00Z" w:initials="VP">
    <w:p w14:paraId="632E034B" w14:textId="24B38025" w:rsidR="00C17696" w:rsidRDefault="00C17696">
      <w:pPr>
        <w:pStyle w:val="CommentText"/>
      </w:pPr>
      <w:r>
        <w:rPr>
          <w:rStyle w:val="CommentReference"/>
        </w:rPr>
        <w:annotationRef/>
      </w:r>
      <w:r w:rsidRPr="2DBEAF4A">
        <w:t xml:space="preserve">habla del eejercicio que lleva planeación de innovación por procesos parta ajustar el mapa </w:t>
      </w:r>
      <w:r>
        <w:fldChar w:fldCharType="begin"/>
      </w:r>
      <w:r>
        <w:instrText xml:space="preserve"> HYPERLINK "mailto:cmmontenegro@minenergia.gov.co"</w:instrText>
      </w:r>
      <w:bookmarkStart w:id="39" w:name="_@_55CE59449F6B448A8EBAB28798EB4806Z"/>
      <w:r>
        <w:fldChar w:fldCharType="separate"/>
      </w:r>
      <w:bookmarkEnd w:id="39"/>
      <w:r w:rsidRPr="72ACB351">
        <w:rPr>
          <w:noProof/>
        </w:rPr>
        <w:t>@CARLOS MAURICIO MONTENEGRO HERNANDEZ</w:t>
      </w:r>
      <w:r>
        <w:fldChar w:fldCharType="end"/>
      </w:r>
      <w:r w:rsidRPr="02C9D4C1">
        <w:t xml:space="preserve"> aún no está aprobado</w:t>
      </w:r>
    </w:p>
  </w:comment>
  <w:comment w:id="40" w:author="DIEGO FERNANDO URBANO CHAVES" w:date="2026-04-29T16:35:00Z" w:initials="DC">
    <w:p w14:paraId="31F3ED56" w14:textId="6EE8DFA8" w:rsidR="001E54B6" w:rsidRDefault="001E54B6">
      <w:pPr>
        <w:pStyle w:val="CommentText"/>
      </w:pPr>
      <w:r>
        <w:rPr>
          <w:rStyle w:val="CommentReference"/>
        </w:rPr>
        <w:annotationRef/>
      </w:r>
      <w:r>
        <w:fldChar w:fldCharType="begin"/>
      </w:r>
      <w:r>
        <w:instrText xml:space="preserve"> HYPERLINK "mailto:camoreno@minenergia.gov.co"</w:instrText>
      </w:r>
      <w:bookmarkStart w:id="41" w:name="_@_1F97E63B37DC4B2EBB1BA6F457C7CF81Z"/>
      <w:r>
        <w:fldChar w:fldCharType="separate"/>
      </w:r>
      <w:bookmarkEnd w:id="41"/>
      <w:r w:rsidRPr="167467A4">
        <w:rPr>
          <w:noProof/>
        </w:rPr>
        <w:t>@CAMILO ANDRES MORENO CHAPARRO</w:t>
      </w:r>
      <w:r>
        <w:fldChar w:fldCharType="end"/>
      </w:r>
      <w:r w:rsidRPr="79BC43BC">
        <w:t xml:space="preserve"> </w:t>
      </w:r>
    </w:p>
  </w:comment>
  <w:comment w:id="42" w:author="VIVIANA YILENA MONROY PRECIADO" w:date="2026-05-07T11:21:00Z" w:initials="VP">
    <w:p w14:paraId="1EB2210B" w14:textId="149BCF91" w:rsidR="00326BFC" w:rsidRDefault="00326BFC">
      <w:pPr>
        <w:pStyle w:val="CommentText"/>
      </w:pPr>
      <w:r>
        <w:rPr>
          <w:rStyle w:val="CommentReference"/>
        </w:rPr>
        <w:annotationRef/>
      </w:r>
      <w:r>
        <w:fldChar w:fldCharType="begin"/>
      </w:r>
      <w:r>
        <w:instrText xml:space="preserve"> HYPERLINK "mailto:dfurbano@minenergia.gov.co"</w:instrText>
      </w:r>
      <w:bookmarkStart w:id="44" w:name="_@_809DA301FB4E47B38A74BA9820B94884Z"/>
      <w:r>
        <w:fldChar w:fldCharType="separate"/>
      </w:r>
      <w:bookmarkEnd w:id="44"/>
      <w:r w:rsidRPr="02F6A7A8">
        <w:rPr>
          <w:noProof/>
        </w:rPr>
        <w:t>@DIEGO FERNANDO URBANO CHAVES</w:t>
      </w:r>
      <w:r>
        <w:fldChar w:fldCharType="end"/>
      </w:r>
      <w:r w:rsidRPr="4F0CF314">
        <w:t xml:space="preserve"> de esto podemos definir cu+al es estratégico y operativo y con eso lo dejamos en 15.1 y 15.2</w:t>
      </w:r>
    </w:p>
  </w:comment>
  <w:comment w:id="43" w:author="VIVIANA YILENA MONROY PRECIADO" w:date="2026-05-07T16:44:00Z" w:initials="VP">
    <w:p w14:paraId="644F1614" w14:textId="0DF1BE80" w:rsidR="00CA17B0" w:rsidRDefault="00CA17B0">
      <w:pPr>
        <w:pStyle w:val="CommentText"/>
      </w:pPr>
      <w:r>
        <w:rPr>
          <w:rStyle w:val="CommentReference"/>
        </w:rPr>
        <w:annotationRef/>
      </w:r>
      <w:r w:rsidRPr="43E75E58">
        <w:t>?</w:t>
      </w:r>
    </w:p>
  </w:comment>
  <w:comment w:id="45" w:author="VIVIANA YILENA MONROY PRECIADO" w:date="2026-05-07T11:17:00Z" w:initials="VP">
    <w:p w14:paraId="421A4AC7" w14:textId="5A6F13BB" w:rsidR="009F14C8" w:rsidRDefault="009F14C8">
      <w:pPr>
        <w:pStyle w:val="CommentText"/>
      </w:pPr>
      <w:r>
        <w:rPr>
          <w:rStyle w:val="CommentReference"/>
        </w:rPr>
        <w:annotationRef/>
      </w:r>
      <w:r>
        <w:fldChar w:fldCharType="begin"/>
      </w:r>
      <w:r>
        <w:instrText xml:space="preserve"> HYPERLINK "mailto:dfurbano@minenergia.gov.co"</w:instrText>
      </w:r>
      <w:bookmarkStart w:id="49" w:name="_@_5B32B1C24F634D619DEFDE4866483C40Z"/>
      <w:r>
        <w:fldChar w:fldCharType="separate"/>
      </w:r>
      <w:bookmarkEnd w:id="49"/>
      <w:r w:rsidRPr="4BA5C213">
        <w:rPr>
          <w:noProof/>
        </w:rPr>
        <w:t>@DIEGO FERNANDO URBANO CHAVES</w:t>
      </w:r>
      <w:r>
        <w:fldChar w:fldCharType="end"/>
      </w:r>
      <w:r w:rsidRPr="23B7E1B8">
        <w:t xml:space="preserve"> revisas esto que estaba en la mina del conocimiento por favor</w:t>
      </w:r>
    </w:p>
  </w:comment>
  <w:comment w:id="46" w:author="VIVIANA YILENA MONROY PRECIADO" w:date="2026-05-07T11:20:00Z" w:initials="VP">
    <w:p w14:paraId="5BA93063" w14:textId="7CFE9E15" w:rsidR="00326BFC" w:rsidRDefault="00326BFC">
      <w:pPr>
        <w:pStyle w:val="CommentText"/>
      </w:pPr>
      <w:r>
        <w:rPr>
          <w:rStyle w:val="CommentReference"/>
        </w:rPr>
        <w:annotationRef/>
      </w:r>
      <w:r w:rsidRPr="66A9D56C">
        <w:t>no sé si se puedan unir a las que ya están escritas</w:t>
      </w:r>
    </w:p>
    <w:p w14:paraId="21C1364E" w14:textId="2C1A5595" w:rsidR="00326BFC" w:rsidRDefault="00326BFC">
      <w:pPr>
        <w:pStyle w:val="CommentText"/>
      </w:pPr>
    </w:p>
  </w:comment>
  <w:comment w:id="47" w:author="DIEGO FERNANDO URBANO CHAVES" w:date="2026-05-07T16:20:00Z" w:initials="DC">
    <w:p w14:paraId="727CEAB8" w14:textId="1535C04C" w:rsidR="00CA17B0" w:rsidRDefault="00CA17B0">
      <w:pPr>
        <w:pStyle w:val="CommentText"/>
      </w:pPr>
      <w:r>
        <w:rPr>
          <w:rStyle w:val="CommentReference"/>
        </w:rPr>
        <w:annotationRef/>
      </w:r>
      <w:r w:rsidRPr="618C381E">
        <w:t>Pues aquí se están resumiendo los logros en forma de lecciones aprendidas, creo que la forma como se presentan pueden ser aprovechadas para dar continuidad y reforzar las iniciativas desarrolladas en esta administración. Yo lo veo Bien</w:t>
      </w:r>
    </w:p>
  </w:comment>
  <w:comment w:id="48" w:author="VIVIANA YILENA MONROY PRECIADO" w:date="2026-05-07T16:42:00Z" w:initials="VP">
    <w:p w14:paraId="2F92E968" w14:textId="6F8F5AED" w:rsidR="00CA17B0" w:rsidRDefault="00CA17B0">
      <w:pPr>
        <w:pStyle w:val="CommentText"/>
      </w:pPr>
      <w:r>
        <w:rPr>
          <w:rStyle w:val="CommentReference"/>
        </w:rPr>
        <w:annotationRef/>
      </w:r>
      <w:r w:rsidRPr="00066AEB">
        <w:t>y entonces as otras? estarían inmerdas o cómos ería con lo que hay arriba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5934B6E" w15:done="0"/>
  <w15:commentEx w15:paraId="1AB7D3D3" w15:done="0"/>
  <w15:commentEx w15:paraId="32EE66AA" w15:paraIdParent="1AB7D3D3" w15:done="0"/>
  <w15:commentEx w15:paraId="1D688E77" w15:paraIdParent="1AB7D3D3" w15:done="0"/>
  <w15:commentEx w15:paraId="6B55DFCE" w15:done="0"/>
  <w15:commentEx w15:paraId="53B23430" w15:paraIdParent="6B55DFCE" w15:done="0"/>
  <w15:commentEx w15:paraId="529BADD6" w15:done="0"/>
  <w15:commentEx w15:paraId="441E2A8D" w15:done="0"/>
  <w15:commentEx w15:paraId="11C47473" w15:paraIdParent="441E2A8D" w15:done="0"/>
  <w15:commentEx w15:paraId="3AA9186C" w15:paraIdParent="441E2A8D" w15:done="0"/>
  <w15:commentEx w15:paraId="308E93BD" w15:paraIdParent="441E2A8D" w15:done="0"/>
  <w15:commentEx w15:paraId="09455622" w15:done="0"/>
  <w15:commentEx w15:paraId="1AD5713F" w15:done="1"/>
  <w15:commentEx w15:paraId="3B51D508" w15:done="1"/>
  <w15:commentEx w15:paraId="01D27698" w15:done="0"/>
  <w15:commentEx w15:paraId="685C1385" w15:done="1"/>
  <w15:commentEx w15:paraId="66EF1E77" w15:done="1"/>
  <w15:commentEx w15:paraId="10AE437E" w15:done="1"/>
  <w15:commentEx w15:paraId="0D887CAE" w15:done="1"/>
  <w15:commentEx w15:paraId="632E034B" w15:done="1"/>
  <w15:commentEx w15:paraId="31F3ED56" w15:done="1"/>
  <w15:commentEx w15:paraId="1EB2210B" w15:done="0"/>
  <w15:commentEx w15:paraId="644F1614" w15:paraIdParent="1EB2210B" w15:done="0"/>
  <w15:commentEx w15:paraId="421A4AC7" w15:done="0"/>
  <w15:commentEx w15:paraId="21C1364E" w15:paraIdParent="421A4AC7" w15:done="0"/>
  <w15:commentEx w15:paraId="727CEAB8" w15:paraIdParent="421A4AC7" w15:done="0"/>
  <w15:commentEx w15:paraId="2F92E968" w15:paraIdParent="421A4A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499F1A" w16cex:dateUtc="2026-04-27T20:17:00Z"/>
  <w16cex:commentExtensible w16cex:durableId="35EB76D3" w16cex:dateUtc="2026-04-27T20:18:00Z"/>
  <w16cex:commentExtensible w16cex:durableId="3A8A2CA5" w16cex:dateUtc="2026-05-07T15:38:00Z"/>
  <w16cex:commentExtensible w16cex:durableId="44DC5264" w16cex:dateUtc="2026-05-07T15:40:00Z"/>
  <w16cex:commentExtensible w16cex:durableId="281E0226" w16cex:dateUtc="2026-05-07T16:34:00Z"/>
  <w16cex:commentExtensible w16cex:durableId="5D0AC2AA" w16cex:dateUtc="2026-05-07T16:34:00Z"/>
  <w16cex:commentExtensible w16cex:durableId="56611E4A" w16cex:dateUtc="2026-04-27T20:19:00Z"/>
  <w16cex:commentExtensible w16cex:durableId="5E741068" w16cex:dateUtc="2026-05-07T16:30:00Z"/>
  <w16cex:commentExtensible w16cex:durableId="61B4D5A8" w16cex:dateUtc="2026-05-07T16:38:00Z"/>
  <w16cex:commentExtensible w16cex:durableId="6FB6921A" w16cex:dateUtc="2026-05-07T16:39:00Z"/>
  <w16cex:commentExtensible w16cex:durableId="1600BF61" w16cex:dateUtc="2026-05-07T21:28:00Z"/>
  <w16cex:commentExtensible w16cex:durableId="2FCD214C" w16cex:dateUtc="2026-05-07T16:29:00Z"/>
  <w16cex:commentExtensible w16cex:durableId="724EC411" w16cex:dateUtc="2026-04-29T21:33:00Z"/>
  <w16cex:commentExtensible w16cex:durableId="0E140A50" w16cex:dateUtc="2026-04-30T19:25:00Z"/>
  <w16cex:commentExtensible w16cex:durableId="69EE6177" w16cex:dateUtc="2026-05-08T14:53:00Z"/>
  <w16cex:commentExtensible w16cex:durableId="1B1D2FE8" w16cex:dateUtc="2026-04-30T19:26:00Z"/>
  <w16cex:commentExtensible w16cex:durableId="3DA76521" w16cex:dateUtc="2026-05-06T22:33:00Z"/>
  <w16cex:commentExtensible w16cex:durableId="50D9D29C" w16cex:dateUtc="2026-04-29T21:33:00Z">
    <w16cex:extLst>
      <w16:ext w16:uri="{CE6994B0-6A32-4C9F-8C6B-6E91EDA988CE}">
        <cr:reactions xmlns:cr="http://schemas.microsoft.com/office/comments/2020/reactions">
          <cr:reaction reactionType="1">
            <cr:reactionInfo dateUtc="2026-04-29T22:25:36Z">
              <cr:user userId="S::segomez@minenergia.gov.co::11a78299-1e06-415e-963b-58574c120567" userProvider="AD" userName="SOFIA ELIZABETH GOMEZ MUÑOZ"/>
            </cr:reactionInfo>
          </cr:reaction>
        </cr:reactions>
      </w16:ext>
    </w16cex:extLst>
  </w16cex:commentExtensible>
  <w16cex:commentExtensible w16cex:durableId="247CFB3E" w16cex:dateUtc="2026-04-29T21:35:00Z"/>
  <w16cex:commentExtensible w16cex:durableId="3AA1726A" w16cex:dateUtc="2026-05-07T16:25:00Z">
    <w16cex:extLst>
      <w16:ext w16:uri="{CE6994B0-6A32-4C9F-8C6B-6E91EDA988CE}">
        <cr:reactions xmlns:cr="http://schemas.microsoft.com/office/comments/2020/reactions">
          <cr:reaction reactionType="1">
            <cr:reactionInfo dateUtc="2026-05-08T15:25:21Z">
              <cr:user userId="S::dfurbano@minenergia.gov.co::0f2ffe40-d56a-43ae-9e44-593bfc99d9f8" userProvider="AD" userName="DIEGO FERNANDO URBANO CHAVES"/>
            </cr:reactionInfo>
          </cr:reaction>
        </cr:reactions>
      </w16:ext>
    </w16cex:extLst>
  </w16cex:commentExtensible>
  <w16cex:commentExtensible w16cex:durableId="32F16DAA" w16cex:dateUtc="2026-04-29T21:35:00Z"/>
  <w16cex:commentExtensible w16cex:durableId="12E83BEC" w16cex:dateUtc="2026-05-07T16:21:00Z"/>
  <w16cex:commentExtensible w16cex:durableId="7C5702AD" w16cex:dateUtc="2026-05-07T21:44:00Z"/>
  <w16cex:commentExtensible w16cex:durableId="2C11FA65" w16cex:dateUtc="2026-05-07T16:17:00Z"/>
  <w16cex:commentExtensible w16cex:durableId="415554EC" w16cex:dateUtc="2026-05-07T16:20:00Z"/>
  <w16cex:commentExtensible w16cex:durableId="22D5FE68" w16cex:dateUtc="2026-05-07T21:20:00Z"/>
  <w16cex:commentExtensible w16cex:durableId="3C91F410" w16cex:dateUtc="2026-05-07T2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5934B6E" w16cid:durableId="58499F1A"/>
  <w16cid:commentId w16cid:paraId="1AB7D3D3" w16cid:durableId="35EB76D3"/>
  <w16cid:commentId w16cid:paraId="32EE66AA" w16cid:durableId="3A8A2CA5"/>
  <w16cid:commentId w16cid:paraId="1D688E77" w16cid:durableId="44DC5264"/>
  <w16cid:commentId w16cid:paraId="6B55DFCE" w16cid:durableId="281E0226"/>
  <w16cid:commentId w16cid:paraId="53B23430" w16cid:durableId="5D0AC2AA"/>
  <w16cid:commentId w16cid:paraId="529BADD6" w16cid:durableId="56611E4A"/>
  <w16cid:commentId w16cid:paraId="441E2A8D" w16cid:durableId="5E741068"/>
  <w16cid:commentId w16cid:paraId="11C47473" w16cid:durableId="61B4D5A8"/>
  <w16cid:commentId w16cid:paraId="3AA9186C" w16cid:durableId="6FB6921A"/>
  <w16cid:commentId w16cid:paraId="308E93BD" w16cid:durableId="1600BF61"/>
  <w16cid:commentId w16cid:paraId="09455622" w16cid:durableId="2FCD214C"/>
  <w16cid:commentId w16cid:paraId="1AD5713F" w16cid:durableId="724EC411"/>
  <w16cid:commentId w16cid:paraId="3B51D508" w16cid:durableId="0E140A50"/>
  <w16cid:commentId w16cid:paraId="01D27698" w16cid:durableId="69EE6177"/>
  <w16cid:commentId w16cid:paraId="685C1385" w16cid:durableId="1B1D2FE8"/>
  <w16cid:commentId w16cid:paraId="66EF1E77" w16cid:durableId="3DA76521"/>
  <w16cid:commentId w16cid:paraId="10AE437E" w16cid:durableId="50D9D29C"/>
  <w16cid:commentId w16cid:paraId="0D887CAE" w16cid:durableId="247CFB3E"/>
  <w16cid:commentId w16cid:paraId="632E034B" w16cid:durableId="3AA1726A"/>
  <w16cid:commentId w16cid:paraId="31F3ED56" w16cid:durableId="32F16DAA"/>
  <w16cid:commentId w16cid:paraId="1EB2210B" w16cid:durableId="12E83BEC"/>
  <w16cid:commentId w16cid:paraId="644F1614" w16cid:durableId="7C5702AD"/>
  <w16cid:commentId w16cid:paraId="421A4AC7" w16cid:durableId="2C11FA65"/>
  <w16cid:commentId w16cid:paraId="21C1364E" w16cid:durableId="415554EC"/>
  <w16cid:commentId w16cid:paraId="727CEAB8" w16cid:durableId="22D5FE68"/>
  <w16cid:commentId w16cid:paraId="2F92E968" w16cid:durableId="3C91F41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692C83" w14:textId="77777777" w:rsidR="00336F2A" w:rsidRPr="004A2840" w:rsidRDefault="00336F2A" w:rsidP="0060060B">
      <w:r w:rsidRPr="004A2840">
        <w:separator/>
      </w:r>
    </w:p>
  </w:endnote>
  <w:endnote w:type="continuationSeparator" w:id="0">
    <w:p w14:paraId="08B46EB7" w14:textId="77777777" w:rsidR="00336F2A" w:rsidRPr="004A2840" w:rsidRDefault="00336F2A" w:rsidP="0060060B">
      <w:r w:rsidRPr="004A284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173B2" w14:textId="53A15C17" w:rsidR="7505FD8C" w:rsidRPr="004A2840" w:rsidRDefault="1A64F6A9" w:rsidP="0060060B">
    <w:pPr>
      <w:pStyle w:val="Footer"/>
    </w:pPr>
    <w:r w:rsidRPr="004A2840">
      <w:rPr>
        <w:noProof/>
      </w:rPr>
      <w:drawing>
        <wp:anchor distT="0" distB="0" distL="114300" distR="114300" simplePos="0" relativeHeight="251658241" behindDoc="1" locked="0" layoutInCell="1" allowOverlap="1" wp14:anchorId="00F5A656" wp14:editId="5C5CAB94">
          <wp:simplePos x="0" y="0"/>
          <wp:positionH relativeFrom="column">
            <wp:posOffset>-1085850</wp:posOffset>
          </wp:positionH>
          <wp:positionV relativeFrom="paragraph">
            <wp:posOffset>-647700</wp:posOffset>
          </wp:positionV>
          <wp:extent cx="7785448" cy="1345958"/>
          <wp:effectExtent l="0" t="0" r="0" b="0"/>
          <wp:wrapNone/>
          <wp:docPr id="18541134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195929" name="Picture 1719195929"/>
                  <pic:cNvPicPr/>
                </pic:nvPicPr>
                <pic:blipFill>
                  <a:blip r:embed="rId1">
                    <a:extLst>
                      <a:ext uri="{28A0092B-C50C-407E-A947-70E740481C1C}">
                        <a14:useLocalDpi xmlns:a14="http://schemas.microsoft.com/office/drawing/2010/main"/>
                      </a:ext>
                    </a:extLst>
                  </a:blip>
                  <a:stretch>
                    <a:fillRect/>
                  </a:stretch>
                </pic:blipFill>
                <pic:spPr>
                  <a:xfrm>
                    <a:off x="0" y="0"/>
                    <a:ext cx="7785448" cy="1345958"/>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46711C56" w:rsidRPr="004A2840" w14:paraId="183C6DE6" w14:textId="77777777" w:rsidTr="46711C56">
      <w:trPr>
        <w:trHeight w:val="300"/>
      </w:trPr>
      <w:tc>
        <w:tcPr>
          <w:tcW w:w="2945" w:type="dxa"/>
        </w:tcPr>
        <w:p w14:paraId="3181C3E2" w14:textId="0D4668FE" w:rsidR="46711C56" w:rsidRPr="004A2840" w:rsidRDefault="46711C56" w:rsidP="0060060B">
          <w:pPr>
            <w:pStyle w:val="Header"/>
          </w:pPr>
        </w:p>
      </w:tc>
      <w:tc>
        <w:tcPr>
          <w:tcW w:w="2945" w:type="dxa"/>
        </w:tcPr>
        <w:p w14:paraId="780944E1" w14:textId="0FD32872" w:rsidR="46711C56" w:rsidRPr="004A2840" w:rsidRDefault="46711C56" w:rsidP="0060060B">
          <w:pPr>
            <w:pStyle w:val="Header"/>
          </w:pPr>
        </w:p>
      </w:tc>
      <w:tc>
        <w:tcPr>
          <w:tcW w:w="2945" w:type="dxa"/>
        </w:tcPr>
        <w:p w14:paraId="2E0A01BE" w14:textId="5BF5510E" w:rsidR="46711C56" w:rsidRPr="004A2840" w:rsidRDefault="46711C56" w:rsidP="0060060B">
          <w:pPr>
            <w:pStyle w:val="Header"/>
          </w:pPr>
        </w:p>
      </w:tc>
    </w:tr>
  </w:tbl>
  <w:p w14:paraId="35C0D93A" w14:textId="116E410E" w:rsidR="46711C56" w:rsidRPr="004A2840" w:rsidRDefault="46711C56" w:rsidP="006006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B938C2" w14:textId="77777777" w:rsidR="00336F2A" w:rsidRPr="004A2840" w:rsidRDefault="00336F2A" w:rsidP="0060060B">
      <w:r w:rsidRPr="004A2840">
        <w:separator/>
      </w:r>
    </w:p>
  </w:footnote>
  <w:footnote w:type="continuationSeparator" w:id="0">
    <w:p w14:paraId="3DF765EC" w14:textId="77777777" w:rsidR="00336F2A" w:rsidRPr="004A2840" w:rsidRDefault="00336F2A" w:rsidP="0060060B">
      <w:r w:rsidRPr="004A284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CF9A0" w14:textId="3F44EEF9" w:rsidR="7505FD8C" w:rsidRPr="004A2840" w:rsidRDefault="7505FD8C" w:rsidP="0060060B">
    <w:pPr>
      <w:pStyle w:val="Header"/>
    </w:pPr>
    <w:r w:rsidRPr="004A2840">
      <w:rPr>
        <w:noProof/>
      </w:rPr>
      <w:drawing>
        <wp:anchor distT="0" distB="0" distL="114300" distR="114300" simplePos="0" relativeHeight="251658240" behindDoc="1" locked="0" layoutInCell="1" allowOverlap="1" wp14:anchorId="548C7F41" wp14:editId="410F9E27">
          <wp:simplePos x="0" y="0"/>
          <wp:positionH relativeFrom="column">
            <wp:posOffset>-1085850</wp:posOffset>
          </wp:positionH>
          <wp:positionV relativeFrom="paragraph">
            <wp:posOffset>-447675</wp:posOffset>
          </wp:positionV>
          <wp:extent cx="7817428" cy="741993"/>
          <wp:effectExtent l="0" t="0" r="0" b="0"/>
          <wp:wrapNone/>
          <wp:docPr id="4175575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57561" name="Picture 417557561"/>
                  <pic:cNvPicPr/>
                </pic:nvPicPr>
                <pic:blipFill>
                  <a:blip r:embed="rId1">
                    <a:extLst>
                      <a:ext uri="{28A0092B-C50C-407E-A947-70E740481C1C}">
                        <a14:useLocalDpi xmlns:a14="http://schemas.microsoft.com/office/drawing/2010/main"/>
                      </a:ext>
                    </a:extLst>
                  </a:blip>
                  <a:stretch>
                    <a:fillRect/>
                  </a:stretch>
                </pic:blipFill>
                <pic:spPr>
                  <a:xfrm>
                    <a:off x="0" y="0"/>
                    <a:ext cx="7817428" cy="74199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945"/>
      <w:gridCol w:w="2945"/>
      <w:gridCol w:w="2945"/>
    </w:tblGrid>
    <w:tr w:rsidR="46711C56" w:rsidRPr="004A2840" w14:paraId="0D31E129" w14:textId="77777777" w:rsidTr="46711C56">
      <w:trPr>
        <w:trHeight w:val="300"/>
      </w:trPr>
      <w:tc>
        <w:tcPr>
          <w:tcW w:w="2945" w:type="dxa"/>
        </w:tcPr>
        <w:p w14:paraId="0D811217" w14:textId="0B8E775C" w:rsidR="46711C56" w:rsidRPr="004A2840" w:rsidRDefault="46711C56" w:rsidP="0060060B">
          <w:pPr>
            <w:pStyle w:val="Header"/>
          </w:pPr>
        </w:p>
      </w:tc>
      <w:tc>
        <w:tcPr>
          <w:tcW w:w="2945" w:type="dxa"/>
        </w:tcPr>
        <w:p w14:paraId="3A338EDB" w14:textId="1DE05177" w:rsidR="46711C56" w:rsidRPr="004A2840" w:rsidRDefault="46711C56" w:rsidP="0060060B">
          <w:pPr>
            <w:pStyle w:val="Header"/>
          </w:pPr>
        </w:p>
      </w:tc>
      <w:tc>
        <w:tcPr>
          <w:tcW w:w="2945" w:type="dxa"/>
        </w:tcPr>
        <w:p w14:paraId="5D351C36" w14:textId="3FC718AD" w:rsidR="46711C56" w:rsidRPr="004A2840" w:rsidRDefault="46711C56" w:rsidP="0060060B">
          <w:pPr>
            <w:pStyle w:val="Header"/>
          </w:pPr>
        </w:p>
      </w:tc>
    </w:tr>
  </w:tbl>
  <w:p w14:paraId="1E2A7B6A" w14:textId="17DAB83E" w:rsidR="46711C56" w:rsidRPr="004A2840" w:rsidRDefault="46711C56" w:rsidP="0060060B">
    <w:pPr>
      <w:pStyle w:val="Header"/>
    </w:pPr>
  </w:p>
</w:hdr>
</file>

<file path=word/intelligence2.xml><?xml version="1.0" encoding="utf-8"?>
<int2:intelligence xmlns:int2="http://schemas.microsoft.com/office/intelligence/2020/intelligence" xmlns:oel="http://schemas.microsoft.com/office/2019/extlst">
  <int2:observations>
    <int2:textHash int2:hashCode="QrseFYbqc3NDUT" int2:id="ohvEq14C">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397B3"/>
    <w:multiLevelType w:val="hybridMultilevel"/>
    <w:tmpl w:val="4BDA6122"/>
    <w:lvl w:ilvl="0" w:tplc="EDA2FEFA">
      <w:start w:val="1"/>
      <w:numFmt w:val="decimal"/>
      <w:lvlText w:val="•"/>
      <w:lvlJc w:val="left"/>
      <w:pPr>
        <w:ind w:left="720" w:hanging="360"/>
      </w:pPr>
    </w:lvl>
    <w:lvl w:ilvl="1" w:tplc="560C6CD2">
      <w:start w:val="1"/>
      <w:numFmt w:val="lowerLetter"/>
      <w:lvlText w:val="%2."/>
      <w:lvlJc w:val="left"/>
      <w:pPr>
        <w:ind w:left="1440" w:hanging="360"/>
      </w:pPr>
    </w:lvl>
    <w:lvl w:ilvl="2" w:tplc="0BE47F36">
      <w:start w:val="1"/>
      <w:numFmt w:val="lowerRoman"/>
      <w:lvlText w:val="%3."/>
      <w:lvlJc w:val="right"/>
      <w:pPr>
        <w:ind w:left="2160" w:hanging="180"/>
      </w:pPr>
    </w:lvl>
    <w:lvl w:ilvl="3" w:tplc="CE04FC24">
      <w:start w:val="1"/>
      <w:numFmt w:val="decimal"/>
      <w:lvlText w:val="%4."/>
      <w:lvlJc w:val="left"/>
      <w:pPr>
        <w:ind w:left="2880" w:hanging="360"/>
      </w:pPr>
    </w:lvl>
    <w:lvl w:ilvl="4" w:tplc="BD12F434">
      <w:start w:val="1"/>
      <w:numFmt w:val="lowerLetter"/>
      <w:lvlText w:val="%5."/>
      <w:lvlJc w:val="left"/>
      <w:pPr>
        <w:ind w:left="3600" w:hanging="360"/>
      </w:pPr>
    </w:lvl>
    <w:lvl w:ilvl="5" w:tplc="0A9AF918">
      <w:start w:val="1"/>
      <w:numFmt w:val="lowerRoman"/>
      <w:lvlText w:val="%6."/>
      <w:lvlJc w:val="right"/>
      <w:pPr>
        <w:ind w:left="4320" w:hanging="180"/>
      </w:pPr>
    </w:lvl>
    <w:lvl w:ilvl="6" w:tplc="C262A12E">
      <w:start w:val="1"/>
      <w:numFmt w:val="decimal"/>
      <w:lvlText w:val="%7."/>
      <w:lvlJc w:val="left"/>
      <w:pPr>
        <w:ind w:left="5040" w:hanging="360"/>
      </w:pPr>
    </w:lvl>
    <w:lvl w:ilvl="7" w:tplc="EF5E71D4">
      <w:start w:val="1"/>
      <w:numFmt w:val="lowerLetter"/>
      <w:lvlText w:val="%8."/>
      <w:lvlJc w:val="left"/>
      <w:pPr>
        <w:ind w:left="5760" w:hanging="360"/>
      </w:pPr>
    </w:lvl>
    <w:lvl w:ilvl="8" w:tplc="606440FC">
      <w:start w:val="1"/>
      <w:numFmt w:val="lowerRoman"/>
      <w:lvlText w:val="%9."/>
      <w:lvlJc w:val="right"/>
      <w:pPr>
        <w:ind w:left="6480" w:hanging="180"/>
      </w:pPr>
    </w:lvl>
  </w:abstractNum>
  <w:abstractNum w:abstractNumId="1" w15:restartNumberingAfterBreak="0">
    <w:nsid w:val="014302DB"/>
    <w:multiLevelType w:val="hybridMultilevel"/>
    <w:tmpl w:val="22C09FDA"/>
    <w:lvl w:ilvl="0" w:tplc="17E29654">
      <w:start w:val="1"/>
      <w:numFmt w:val="bullet"/>
      <w:lvlText w:val=""/>
      <w:lvlJc w:val="left"/>
      <w:pPr>
        <w:ind w:left="720" w:hanging="360"/>
      </w:pPr>
      <w:rPr>
        <w:rFonts w:ascii="Symbol" w:hAnsi="Symbol" w:hint="default"/>
      </w:rPr>
    </w:lvl>
    <w:lvl w:ilvl="1" w:tplc="8E46A426">
      <w:start w:val="1"/>
      <w:numFmt w:val="bullet"/>
      <w:lvlText w:val="o"/>
      <w:lvlJc w:val="left"/>
      <w:pPr>
        <w:ind w:left="1440" w:hanging="360"/>
      </w:pPr>
      <w:rPr>
        <w:rFonts w:ascii="Courier New" w:hAnsi="Courier New" w:hint="default"/>
      </w:rPr>
    </w:lvl>
    <w:lvl w:ilvl="2" w:tplc="EB82A2AA">
      <w:start w:val="1"/>
      <w:numFmt w:val="bullet"/>
      <w:lvlText w:val=""/>
      <w:lvlJc w:val="left"/>
      <w:pPr>
        <w:ind w:left="2160" w:hanging="360"/>
      </w:pPr>
      <w:rPr>
        <w:rFonts w:ascii="Wingdings" w:hAnsi="Wingdings" w:hint="default"/>
      </w:rPr>
    </w:lvl>
    <w:lvl w:ilvl="3" w:tplc="E80CAA68">
      <w:start w:val="1"/>
      <w:numFmt w:val="bullet"/>
      <w:lvlText w:val=""/>
      <w:lvlJc w:val="left"/>
      <w:pPr>
        <w:ind w:left="2880" w:hanging="360"/>
      </w:pPr>
      <w:rPr>
        <w:rFonts w:ascii="Symbol" w:hAnsi="Symbol" w:hint="default"/>
      </w:rPr>
    </w:lvl>
    <w:lvl w:ilvl="4" w:tplc="F5D21EC4">
      <w:start w:val="1"/>
      <w:numFmt w:val="bullet"/>
      <w:lvlText w:val="o"/>
      <w:lvlJc w:val="left"/>
      <w:pPr>
        <w:ind w:left="3600" w:hanging="360"/>
      </w:pPr>
      <w:rPr>
        <w:rFonts w:ascii="Courier New" w:hAnsi="Courier New" w:hint="default"/>
      </w:rPr>
    </w:lvl>
    <w:lvl w:ilvl="5" w:tplc="9F085D86">
      <w:start w:val="1"/>
      <w:numFmt w:val="bullet"/>
      <w:lvlText w:val=""/>
      <w:lvlJc w:val="left"/>
      <w:pPr>
        <w:ind w:left="4320" w:hanging="360"/>
      </w:pPr>
      <w:rPr>
        <w:rFonts w:ascii="Wingdings" w:hAnsi="Wingdings" w:hint="default"/>
      </w:rPr>
    </w:lvl>
    <w:lvl w:ilvl="6" w:tplc="623616EA">
      <w:start w:val="1"/>
      <w:numFmt w:val="bullet"/>
      <w:lvlText w:val=""/>
      <w:lvlJc w:val="left"/>
      <w:pPr>
        <w:ind w:left="5040" w:hanging="360"/>
      </w:pPr>
      <w:rPr>
        <w:rFonts w:ascii="Symbol" w:hAnsi="Symbol" w:hint="default"/>
      </w:rPr>
    </w:lvl>
    <w:lvl w:ilvl="7" w:tplc="6E16B7A2">
      <w:start w:val="1"/>
      <w:numFmt w:val="bullet"/>
      <w:lvlText w:val="o"/>
      <w:lvlJc w:val="left"/>
      <w:pPr>
        <w:ind w:left="5760" w:hanging="360"/>
      </w:pPr>
      <w:rPr>
        <w:rFonts w:ascii="Courier New" w:hAnsi="Courier New" w:hint="default"/>
      </w:rPr>
    </w:lvl>
    <w:lvl w:ilvl="8" w:tplc="5E9A8F68">
      <w:start w:val="1"/>
      <w:numFmt w:val="bullet"/>
      <w:lvlText w:val=""/>
      <w:lvlJc w:val="left"/>
      <w:pPr>
        <w:ind w:left="6480" w:hanging="360"/>
      </w:pPr>
      <w:rPr>
        <w:rFonts w:ascii="Wingdings" w:hAnsi="Wingdings" w:hint="default"/>
      </w:rPr>
    </w:lvl>
  </w:abstractNum>
  <w:abstractNum w:abstractNumId="2" w15:restartNumberingAfterBreak="0">
    <w:nsid w:val="028302B6"/>
    <w:multiLevelType w:val="hybridMultilevel"/>
    <w:tmpl w:val="FFFFFFFF"/>
    <w:lvl w:ilvl="0" w:tplc="236A1DE4">
      <w:start w:val="1"/>
      <w:numFmt w:val="bullet"/>
      <w:lvlText w:val=""/>
      <w:lvlJc w:val="left"/>
      <w:pPr>
        <w:ind w:left="720" w:hanging="360"/>
      </w:pPr>
      <w:rPr>
        <w:rFonts w:ascii="Symbol" w:hAnsi="Symbol" w:hint="default"/>
      </w:rPr>
    </w:lvl>
    <w:lvl w:ilvl="1" w:tplc="3CAE6432">
      <w:start w:val="1"/>
      <w:numFmt w:val="bullet"/>
      <w:lvlText w:val="o"/>
      <w:lvlJc w:val="left"/>
      <w:pPr>
        <w:ind w:left="1440" w:hanging="360"/>
      </w:pPr>
      <w:rPr>
        <w:rFonts w:ascii="Courier New" w:hAnsi="Courier New" w:hint="default"/>
      </w:rPr>
    </w:lvl>
    <w:lvl w:ilvl="2" w:tplc="2C64756C">
      <w:start w:val="1"/>
      <w:numFmt w:val="bullet"/>
      <w:lvlText w:val=""/>
      <w:lvlJc w:val="left"/>
      <w:pPr>
        <w:ind w:left="2160" w:hanging="360"/>
      </w:pPr>
      <w:rPr>
        <w:rFonts w:ascii="Wingdings" w:hAnsi="Wingdings" w:hint="default"/>
      </w:rPr>
    </w:lvl>
    <w:lvl w:ilvl="3" w:tplc="3DAC6152">
      <w:start w:val="1"/>
      <w:numFmt w:val="bullet"/>
      <w:lvlText w:val=""/>
      <w:lvlJc w:val="left"/>
      <w:pPr>
        <w:ind w:left="2880" w:hanging="360"/>
      </w:pPr>
      <w:rPr>
        <w:rFonts w:ascii="Symbol" w:hAnsi="Symbol" w:hint="default"/>
      </w:rPr>
    </w:lvl>
    <w:lvl w:ilvl="4" w:tplc="1C345400">
      <w:start w:val="1"/>
      <w:numFmt w:val="bullet"/>
      <w:lvlText w:val="o"/>
      <w:lvlJc w:val="left"/>
      <w:pPr>
        <w:ind w:left="3600" w:hanging="360"/>
      </w:pPr>
      <w:rPr>
        <w:rFonts w:ascii="Courier New" w:hAnsi="Courier New" w:hint="default"/>
      </w:rPr>
    </w:lvl>
    <w:lvl w:ilvl="5" w:tplc="1780DBC4">
      <w:start w:val="1"/>
      <w:numFmt w:val="bullet"/>
      <w:lvlText w:val=""/>
      <w:lvlJc w:val="left"/>
      <w:pPr>
        <w:ind w:left="4320" w:hanging="360"/>
      </w:pPr>
      <w:rPr>
        <w:rFonts w:ascii="Wingdings" w:hAnsi="Wingdings" w:hint="default"/>
      </w:rPr>
    </w:lvl>
    <w:lvl w:ilvl="6" w:tplc="772C5886">
      <w:start w:val="1"/>
      <w:numFmt w:val="bullet"/>
      <w:lvlText w:val=""/>
      <w:lvlJc w:val="left"/>
      <w:pPr>
        <w:ind w:left="5040" w:hanging="360"/>
      </w:pPr>
      <w:rPr>
        <w:rFonts w:ascii="Symbol" w:hAnsi="Symbol" w:hint="default"/>
      </w:rPr>
    </w:lvl>
    <w:lvl w:ilvl="7" w:tplc="A7F877D6">
      <w:start w:val="1"/>
      <w:numFmt w:val="bullet"/>
      <w:lvlText w:val="o"/>
      <w:lvlJc w:val="left"/>
      <w:pPr>
        <w:ind w:left="5760" w:hanging="360"/>
      </w:pPr>
      <w:rPr>
        <w:rFonts w:ascii="Courier New" w:hAnsi="Courier New" w:hint="default"/>
      </w:rPr>
    </w:lvl>
    <w:lvl w:ilvl="8" w:tplc="B8BCAA5E">
      <w:start w:val="1"/>
      <w:numFmt w:val="bullet"/>
      <w:lvlText w:val=""/>
      <w:lvlJc w:val="left"/>
      <w:pPr>
        <w:ind w:left="6480" w:hanging="360"/>
      </w:pPr>
      <w:rPr>
        <w:rFonts w:ascii="Wingdings" w:hAnsi="Wingdings" w:hint="default"/>
      </w:rPr>
    </w:lvl>
  </w:abstractNum>
  <w:abstractNum w:abstractNumId="3" w15:restartNumberingAfterBreak="0">
    <w:nsid w:val="0534A72A"/>
    <w:multiLevelType w:val="hybridMultilevel"/>
    <w:tmpl w:val="FFFFFFFF"/>
    <w:lvl w:ilvl="0" w:tplc="BA50413C">
      <w:start w:val="1"/>
      <w:numFmt w:val="bullet"/>
      <w:lvlText w:val="-"/>
      <w:lvlJc w:val="left"/>
      <w:pPr>
        <w:ind w:left="720" w:hanging="360"/>
      </w:pPr>
      <w:rPr>
        <w:rFonts w:ascii="Aptos" w:hAnsi="Aptos" w:hint="default"/>
      </w:rPr>
    </w:lvl>
    <w:lvl w:ilvl="1" w:tplc="059CB60E">
      <w:start w:val="1"/>
      <w:numFmt w:val="bullet"/>
      <w:lvlText w:val="o"/>
      <w:lvlJc w:val="left"/>
      <w:pPr>
        <w:ind w:left="1440" w:hanging="360"/>
      </w:pPr>
      <w:rPr>
        <w:rFonts w:ascii="Courier New" w:hAnsi="Courier New" w:hint="default"/>
      </w:rPr>
    </w:lvl>
    <w:lvl w:ilvl="2" w:tplc="AB6E4CEC">
      <w:start w:val="1"/>
      <w:numFmt w:val="bullet"/>
      <w:lvlText w:val=""/>
      <w:lvlJc w:val="left"/>
      <w:pPr>
        <w:ind w:left="2160" w:hanging="360"/>
      </w:pPr>
      <w:rPr>
        <w:rFonts w:ascii="Wingdings" w:hAnsi="Wingdings" w:hint="default"/>
      </w:rPr>
    </w:lvl>
    <w:lvl w:ilvl="3" w:tplc="75C6CB58">
      <w:start w:val="1"/>
      <w:numFmt w:val="bullet"/>
      <w:lvlText w:val=""/>
      <w:lvlJc w:val="left"/>
      <w:pPr>
        <w:ind w:left="2880" w:hanging="360"/>
      </w:pPr>
      <w:rPr>
        <w:rFonts w:ascii="Symbol" w:hAnsi="Symbol" w:hint="default"/>
      </w:rPr>
    </w:lvl>
    <w:lvl w:ilvl="4" w:tplc="742C592E">
      <w:start w:val="1"/>
      <w:numFmt w:val="bullet"/>
      <w:lvlText w:val="o"/>
      <w:lvlJc w:val="left"/>
      <w:pPr>
        <w:ind w:left="3600" w:hanging="360"/>
      </w:pPr>
      <w:rPr>
        <w:rFonts w:ascii="Courier New" w:hAnsi="Courier New" w:hint="default"/>
      </w:rPr>
    </w:lvl>
    <w:lvl w:ilvl="5" w:tplc="CD1AE390">
      <w:start w:val="1"/>
      <w:numFmt w:val="bullet"/>
      <w:lvlText w:val=""/>
      <w:lvlJc w:val="left"/>
      <w:pPr>
        <w:ind w:left="4320" w:hanging="360"/>
      </w:pPr>
      <w:rPr>
        <w:rFonts w:ascii="Wingdings" w:hAnsi="Wingdings" w:hint="default"/>
      </w:rPr>
    </w:lvl>
    <w:lvl w:ilvl="6" w:tplc="95D0F58C">
      <w:start w:val="1"/>
      <w:numFmt w:val="bullet"/>
      <w:lvlText w:val=""/>
      <w:lvlJc w:val="left"/>
      <w:pPr>
        <w:ind w:left="5040" w:hanging="360"/>
      </w:pPr>
      <w:rPr>
        <w:rFonts w:ascii="Symbol" w:hAnsi="Symbol" w:hint="default"/>
      </w:rPr>
    </w:lvl>
    <w:lvl w:ilvl="7" w:tplc="9010244A">
      <w:start w:val="1"/>
      <w:numFmt w:val="bullet"/>
      <w:lvlText w:val="o"/>
      <w:lvlJc w:val="left"/>
      <w:pPr>
        <w:ind w:left="5760" w:hanging="360"/>
      </w:pPr>
      <w:rPr>
        <w:rFonts w:ascii="Courier New" w:hAnsi="Courier New" w:hint="default"/>
      </w:rPr>
    </w:lvl>
    <w:lvl w:ilvl="8" w:tplc="7C58A8EE">
      <w:start w:val="1"/>
      <w:numFmt w:val="bullet"/>
      <w:lvlText w:val=""/>
      <w:lvlJc w:val="left"/>
      <w:pPr>
        <w:ind w:left="6480" w:hanging="360"/>
      </w:pPr>
      <w:rPr>
        <w:rFonts w:ascii="Wingdings" w:hAnsi="Wingdings" w:hint="default"/>
      </w:rPr>
    </w:lvl>
  </w:abstractNum>
  <w:abstractNum w:abstractNumId="4" w15:restartNumberingAfterBreak="0">
    <w:nsid w:val="09DEBD63"/>
    <w:multiLevelType w:val="hybridMultilevel"/>
    <w:tmpl w:val="3BE083A4"/>
    <w:lvl w:ilvl="0" w:tplc="8C42675E">
      <w:start w:val="1"/>
      <w:numFmt w:val="bullet"/>
      <w:lvlText w:val=""/>
      <w:lvlJc w:val="left"/>
      <w:pPr>
        <w:ind w:left="720" w:hanging="360"/>
      </w:pPr>
      <w:rPr>
        <w:rFonts w:ascii="Symbol" w:hAnsi="Symbol" w:hint="default"/>
      </w:rPr>
    </w:lvl>
    <w:lvl w:ilvl="1" w:tplc="E4506288">
      <w:start w:val="1"/>
      <w:numFmt w:val="bullet"/>
      <w:lvlText w:val="o"/>
      <w:lvlJc w:val="left"/>
      <w:pPr>
        <w:ind w:left="1440" w:hanging="360"/>
      </w:pPr>
      <w:rPr>
        <w:rFonts w:ascii="Courier New" w:hAnsi="Courier New" w:hint="default"/>
      </w:rPr>
    </w:lvl>
    <w:lvl w:ilvl="2" w:tplc="75E65992">
      <w:start w:val="1"/>
      <w:numFmt w:val="bullet"/>
      <w:lvlText w:val=""/>
      <w:lvlJc w:val="left"/>
      <w:pPr>
        <w:ind w:left="2160" w:hanging="360"/>
      </w:pPr>
      <w:rPr>
        <w:rFonts w:ascii="Wingdings" w:hAnsi="Wingdings" w:hint="default"/>
      </w:rPr>
    </w:lvl>
    <w:lvl w:ilvl="3" w:tplc="A850AD9C">
      <w:start w:val="1"/>
      <w:numFmt w:val="bullet"/>
      <w:lvlText w:val=""/>
      <w:lvlJc w:val="left"/>
      <w:pPr>
        <w:ind w:left="2880" w:hanging="360"/>
      </w:pPr>
      <w:rPr>
        <w:rFonts w:ascii="Symbol" w:hAnsi="Symbol" w:hint="default"/>
      </w:rPr>
    </w:lvl>
    <w:lvl w:ilvl="4" w:tplc="F0103EB8">
      <w:start w:val="1"/>
      <w:numFmt w:val="bullet"/>
      <w:lvlText w:val="o"/>
      <w:lvlJc w:val="left"/>
      <w:pPr>
        <w:ind w:left="3600" w:hanging="360"/>
      </w:pPr>
      <w:rPr>
        <w:rFonts w:ascii="Courier New" w:hAnsi="Courier New" w:hint="default"/>
      </w:rPr>
    </w:lvl>
    <w:lvl w:ilvl="5" w:tplc="7252321C">
      <w:start w:val="1"/>
      <w:numFmt w:val="bullet"/>
      <w:lvlText w:val=""/>
      <w:lvlJc w:val="left"/>
      <w:pPr>
        <w:ind w:left="4320" w:hanging="360"/>
      </w:pPr>
      <w:rPr>
        <w:rFonts w:ascii="Wingdings" w:hAnsi="Wingdings" w:hint="default"/>
      </w:rPr>
    </w:lvl>
    <w:lvl w:ilvl="6" w:tplc="ECE6E446">
      <w:start w:val="1"/>
      <w:numFmt w:val="bullet"/>
      <w:lvlText w:val=""/>
      <w:lvlJc w:val="left"/>
      <w:pPr>
        <w:ind w:left="5040" w:hanging="360"/>
      </w:pPr>
      <w:rPr>
        <w:rFonts w:ascii="Symbol" w:hAnsi="Symbol" w:hint="default"/>
      </w:rPr>
    </w:lvl>
    <w:lvl w:ilvl="7" w:tplc="FF1C6F1A">
      <w:start w:val="1"/>
      <w:numFmt w:val="bullet"/>
      <w:lvlText w:val="o"/>
      <w:lvlJc w:val="left"/>
      <w:pPr>
        <w:ind w:left="5760" w:hanging="360"/>
      </w:pPr>
      <w:rPr>
        <w:rFonts w:ascii="Courier New" w:hAnsi="Courier New" w:hint="default"/>
      </w:rPr>
    </w:lvl>
    <w:lvl w:ilvl="8" w:tplc="D0FA93AA">
      <w:start w:val="1"/>
      <w:numFmt w:val="bullet"/>
      <w:lvlText w:val=""/>
      <w:lvlJc w:val="left"/>
      <w:pPr>
        <w:ind w:left="6480" w:hanging="360"/>
      </w:pPr>
      <w:rPr>
        <w:rFonts w:ascii="Wingdings" w:hAnsi="Wingdings" w:hint="default"/>
      </w:rPr>
    </w:lvl>
  </w:abstractNum>
  <w:abstractNum w:abstractNumId="5" w15:restartNumberingAfterBreak="0">
    <w:nsid w:val="258621B0"/>
    <w:multiLevelType w:val="hybridMultilevel"/>
    <w:tmpl w:val="FFFFFFFF"/>
    <w:lvl w:ilvl="0" w:tplc="FCA84E20">
      <w:start w:val="1"/>
      <w:numFmt w:val="bullet"/>
      <w:lvlText w:val=""/>
      <w:lvlJc w:val="left"/>
      <w:pPr>
        <w:ind w:left="720" w:hanging="360"/>
      </w:pPr>
      <w:rPr>
        <w:rFonts w:ascii="Symbol" w:hAnsi="Symbol" w:hint="default"/>
      </w:rPr>
    </w:lvl>
    <w:lvl w:ilvl="1" w:tplc="B3BA62FA">
      <w:start w:val="1"/>
      <w:numFmt w:val="bullet"/>
      <w:lvlText w:val="o"/>
      <w:lvlJc w:val="left"/>
      <w:pPr>
        <w:ind w:left="1440" w:hanging="360"/>
      </w:pPr>
      <w:rPr>
        <w:rFonts w:ascii="Courier New" w:hAnsi="Courier New" w:hint="default"/>
      </w:rPr>
    </w:lvl>
    <w:lvl w:ilvl="2" w:tplc="909AC7F4">
      <w:start w:val="1"/>
      <w:numFmt w:val="bullet"/>
      <w:lvlText w:val=""/>
      <w:lvlJc w:val="left"/>
      <w:pPr>
        <w:ind w:left="2160" w:hanging="360"/>
      </w:pPr>
      <w:rPr>
        <w:rFonts w:ascii="Wingdings" w:hAnsi="Wingdings" w:hint="default"/>
      </w:rPr>
    </w:lvl>
    <w:lvl w:ilvl="3" w:tplc="958E0446">
      <w:start w:val="1"/>
      <w:numFmt w:val="bullet"/>
      <w:lvlText w:val=""/>
      <w:lvlJc w:val="left"/>
      <w:pPr>
        <w:ind w:left="2880" w:hanging="360"/>
      </w:pPr>
      <w:rPr>
        <w:rFonts w:ascii="Symbol" w:hAnsi="Symbol" w:hint="default"/>
      </w:rPr>
    </w:lvl>
    <w:lvl w:ilvl="4" w:tplc="2E0609E0">
      <w:start w:val="1"/>
      <w:numFmt w:val="bullet"/>
      <w:lvlText w:val="o"/>
      <w:lvlJc w:val="left"/>
      <w:pPr>
        <w:ind w:left="3600" w:hanging="360"/>
      </w:pPr>
      <w:rPr>
        <w:rFonts w:ascii="Courier New" w:hAnsi="Courier New" w:hint="default"/>
      </w:rPr>
    </w:lvl>
    <w:lvl w:ilvl="5" w:tplc="37727A8E">
      <w:start w:val="1"/>
      <w:numFmt w:val="bullet"/>
      <w:lvlText w:val=""/>
      <w:lvlJc w:val="left"/>
      <w:pPr>
        <w:ind w:left="4320" w:hanging="360"/>
      </w:pPr>
      <w:rPr>
        <w:rFonts w:ascii="Wingdings" w:hAnsi="Wingdings" w:hint="default"/>
      </w:rPr>
    </w:lvl>
    <w:lvl w:ilvl="6" w:tplc="36B63C02">
      <w:start w:val="1"/>
      <w:numFmt w:val="bullet"/>
      <w:lvlText w:val=""/>
      <w:lvlJc w:val="left"/>
      <w:pPr>
        <w:ind w:left="5040" w:hanging="360"/>
      </w:pPr>
      <w:rPr>
        <w:rFonts w:ascii="Symbol" w:hAnsi="Symbol" w:hint="default"/>
      </w:rPr>
    </w:lvl>
    <w:lvl w:ilvl="7" w:tplc="8A78A76C">
      <w:start w:val="1"/>
      <w:numFmt w:val="bullet"/>
      <w:lvlText w:val="o"/>
      <w:lvlJc w:val="left"/>
      <w:pPr>
        <w:ind w:left="5760" w:hanging="360"/>
      </w:pPr>
      <w:rPr>
        <w:rFonts w:ascii="Courier New" w:hAnsi="Courier New" w:hint="default"/>
      </w:rPr>
    </w:lvl>
    <w:lvl w:ilvl="8" w:tplc="5202A490">
      <w:start w:val="1"/>
      <w:numFmt w:val="bullet"/>
      <w:lvlText w:val=""/>
      <w:lvlJc w:val="left"/>
      <w:pPr>
        <w:ind w:left="6480" w:hanging="360"/>
      </w:pPr>
      <w:rPr>
        <w:rFonts w:ascii="Wingdings" w:hAnsi="Wingdings" w:hint="default"/>
      </w:rPr>
    </w:lvl>
  </w:abstractNum>
  <w:abstractNum w:abstractNumId="6" w15:restartNumberingAfterBreak="0">
    <w:nsid w:val="314F6091"/>
    <w:multiLevelType w:val="hybridMultilevel"/>
    <w:tmpl w:val="87C6226C"/>
    <w:lvl w:ilvl="0" w:tplc="E278AB3C">
      <w:start w:val="1"/>
      <w:numFmt w:val="bullet"/>
      <w:lvlText w:val=""/>
      <w:lvlJc w:val="left"/>
      <w:pPr>
        <w:ind w:left="720" w:hanging="360"/>
      </w:pPr>
      <w:rPr>
        <w:rFonts w:ascii="Symbol" w:hAnsi="Symbol" w:hint="default"/>
      </w:rPr>
    </w:lvl>
    <w:lvl w:ilvl="1" w:tplc="D272EF74">
      <w:start w:val="1"/>
      <w:numFmt w:val="bullet"/>
      <w:lvlText w:val="o"/>
      <w:lvlJc w:val="left"/>
      <w:pPr>
        <w:ind w:left="1440" w:hanging="360"/>
      </w:pPr>
      <w:rPr>
        <w:rFonts w:ascii="Courier New" w:hAnsi="Courier New" w:hint="default"/>
      </w:rPr>
    </w:lvl>
    <w:lvl w:ilvl="2" w:tplc="DD8CEDAC">
      <w:start w:val="1"/>
      <w:numFmt w:val="bullet"/>
      <w:lvlText w:val=""/>
      <w:lvlJc w:val="left"/>
      <w:pPr>
        <w:ind w:left="2160" w:hanging="360"/>
      </w:pPr>
      <w:rPr>
        <w:rFonts w:ascii="Wingdings" w:hAnsi="Wingdings" w:hint="default"/>
      </w:rPr>
    </w:lvl>
    <w:lvl w:ilvl="3" w:tplc="7362D5DA">
      <w:start w:val="1"/>
      <w:numFmt w:val="bullet"/>
      <w:lvlText w:val=""/>
      <w:lvlJc w:val="left"/>
      <w:pPr>
        <w:ind w:left="2880" w:hanging="360"/>
      </w:pPr>
      <w:rPr>
        <w:rFonts w:ascii="Symbol" w:hAnsi="Symbol" w:hint="default"/>
      </w:rPr>
    </w:lvl>
    <w:lvl w:ilvl="4" w:tplc="BFEC7ABE">
      <w:start w:val="1"/>
      <w:numFmt w:val="bullet"/>
      <w:lvlText w:val="o"/>
      <w:lvlJc w:val="left"/>
      <w:pPr>
        <w:ind w:left="3600" w:hanging="360"/>
      </w:pPr>
      <w:rPr>
        <w:rFonts w:ascii="Courier New" w:hAnsi="Courier New" w:hint="default"/>
      </w:rPr>
    </w:lvl>
    <w:lvl w:ilvl="5" w:tplc="4F0E346C">
      <w:start w:val="1"/>
      <w:numFmt w:val="bullet"/>
      <w:lvlText w:val=""/>
      <w:lvlJc w:val="left"/>
      <w:pPr>
        <w:ind w:left="4320" w:hanging="360"/>
      </w:pPr>
      <w:rPr>
        <w:rFonts w:ascii="Wingdings" w:hAnsi="Wingdings" w:hint="default"/>
      </w:rPr>
    </w:lvl>
    <w:lvl w:ilvl="6" w:tplc="870C7316">
      <w:start w:val="1"/>
      <w:numFmt w:val="bullet"/>
      <w:lvlText w:val=""/>
      <w:lvlJc w:val="left"/>
      <w:pPr>
        <w:ind w:left="5040" w:hanging="360"/>
      </w:pPr>
      <w:rPr>
        <w:rFonts w:ascii="Symbol" w:hAnsi="Symbol" w:hint="default"/>
      </w:rPr>
    </w:lvl>
    <w:lvl w:ilvl="7" w:tplc="746A80FA">
      <w:start w:val="1"/>
      <w:numFmt w:val="bullet"/>
      <w:lvlText w:val="o"/>
      <w:lvlJc w:val="left"/>
      <w:pPr>
        <w:ind w:left="5760" w:hanging="360"/>
      </w:pPr>
      <w:rPr>
        <w:rFonts w:ascii="Courier New" w:hAnsi="Courier New" w:hint="default"/>
      </w:rPr>
    </w:lvl>
    <w:lvl w:ilvl="8" w:tplc="7DEA1820">
      <w:start w:val="1"/>
      <w:numFmt w:val="bullet"/>
      <w:lvlText w:val=""/>
      <w:lvlJc w:val="left"/>
      <w:pPr>
        <w:ind w:left="6480" w:hanging="360"/>
      </w:pPr>
      <w:rPr>
        <w:rFonts w:ascii="Wingdings" w:hAnsi="Wingdings" w:hint="default"/>
      </w:rPr>
    </w:lvl>
  </w:abstractNum>
  <w:abstractNum w:abstractNumId="7" w15:restartNumberingAfterBreak="0">
    <w:nsid w:val="36A01C23"/>
    <w:multiLevelType w:val="hybridMultilevel"/>
    <w:tmpl w:val="FFFFFFFF"/>
    <w:lvl w:ilvl="0" w:tplc="7780F6BE">
      <w:start w:val="1"/>
      <w:numFmt w:val="bullet"/>
      <w:lvlText w:val=""/>
      <w:lvlJc w:val="left"/>
      <w:pPr>
        <w:ind w:left="720" w:hanging="360"/>
      </w:pPr>
      <w:rPr>
        <w:rFonts w:ascii="Wingdings" w:hAnsi="Wingdings" w:hint="default"/>
      </w:rPr>
    </w:lvl>
    <w:lvl w:ilvl="1" w:tplc="61E27410">
      <w:start w:val="1"/>
      <w:numFmt w:val="bullet"/>
      <w:lvlText w:val="o"/>
      <w:lvlJc w:val="left"/>
      <w:pPr>
        <w:ind w:left="1440" w:hanging="360"/>
      </w:pPr>
      <w:rPr>
        <w:rFonts w:ascii="Courier New" w:hAnsi="Courier New" w:hint="default"/>
      </w:rPr>
    </w:lvl>
    <w:lvl w:ilvl="2" w:tplc="F05206CA">
      <w:start w:val="1"/>
      <w:numFmt w:val="bullet"/>
      <w:lvlText w:val=""/>
      <w:lvlJc w:val="left"/>
      <w:pPr>
        <w:ind w:left="2160" w:hanging="360"/>
      </w:pPr>
      <w:rPr>
        <w:rFonts w:ascii="Wingdings" w:hAnsi="Wingdings" w:hint="default"/>
      </w:rPr>
    </w:lvl>
    <w:lvl w:ilvl="3" w:tplc="F76C88F8">
      <w:start w:val="1"/>
      <w:numFmt w:val="bullet"/>
      <w:lvlText w:val=""/>
      <w:lvlJc w:val="left"/>
      <w:pPr>
        <w:ind w:left="2880" w:hanging="360"/>
      </w:pPr>
      <w:rPr>
        <w:rFonts w:ascii="Symbol" w:hAnsi="Symbol" w:hint="default"/>
      </w:rPr>
    </w:lvl>
    <w:lvl w:ilvl="4" w:tplc="135C1014">
      <w:start w:val="1"/>
      <w:numFmt w:val="bullet"/>
      <w:lvlText w:val="o"/>
      <w:lvlJc w:val="left"/>
      <w:pPr>
        <w:ind w:left="3600" w:hanging="360"/>
      </w:pPr>
      <w:rPr>
        <w:rFonts w:ascii="Courier New" w:hAnsi="Courier New" w:hint="default"/>
      </w:rPr>
    </w:lvl>
    <w:lvl w:ilvl="5" w:tplc="48A69706">
      <w:start w:val="1"/>
      <w:numFmt w:val="bullet"/>
      <w:lvlText w:val=""/>
      <w:lvlJc w:val="left"/>
      <w:pPr>
        <w:ind w:left="4320" w:hanging="360"/>
      </w:pPr>
      <w:rPr>
        <w:rFonts w:ascii="Wingdings" w:hAnsi="Wingdings" w:hint="default"/>
      </w:rPr>
    </w:lvl>
    <w:lvl w:ilvl="6" w:tplc="4B7C60BE">
      <w:start w:val="1"/>
      <w:numFmt w:val="bullet"/>
      <w:lvlText w:val=""/>
      <w:lvlJc w:val="left"/>
      <w:pPr>
        <w:ind w:left="5040" w:hanging="360"/>
      </w:pPr>
      <w:rPr>
        <w:rFonts w:ascii="Symbol" w:hAnsi="Symbol" w:hint="default"/>
      </w:rPr>
    </w:lvl>
    <w:lvl w:ilvl="7" w:tplc="ACD61B18">
      <w:start w:val="1"/>
      <w:numFmt w:val="bullet"/>
      <w:lvlText w:val="o"/>
      <w:lvlJc w:val="left"/>
      <w:pPr>
        <w:ind w:left="5760" w:hanging="360"/>
      </w:pPr>
      <w:rPr>
        <w:rFonts w:ascii="Courier New" w:hAnsi="Courier New" w:hint="default"/>
      </w:rPr>
    </w:lvl>
    <w:lvl w:ilvl="8" w:tplc="E5EC0DBA">
      <w:start w:val="1"/>
      <w:numFmt w:val="bullet"/>
      <w:lvlText w:val=""/>
      <w:lvlJc w:val="left"/>
      <w:pPr>
        <w:ind w:left="6480" w:hanging="360"/>
      </w:pPr>
      <w:rPr>
        <w:rFonts w:ascii="Wingdings" w:hAnsi="Wingdings" w:hint="default"/>
      </w:rPr>
    </w:lvl>
  </w:abstractNum>
  <w:abstractNum w:abstractNumId="8" w15:restartNumberingAfterBreak="0">
    <w:nsid w:val="3CE90748"/>
    <w:multiLevelType w:val="multilevel"/>
    <w:tmpl w:val="B100E7E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5C65517E"/>
    <w:multiLevelType w:val="hybridMultilevel"/>
    <w:tmpl w:val="8A30FAEE"/>
    <w:lvl w:ilvl="0" w:tplc="FFFFFFFF">
      <w:start w:val="1"/>
      <w:numFmt w:val="bullet"/>
      <w:pStyle w:val="ListParagraph"/>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E94EA2B"/>
    <w:multiLevelType w:val="hybridMultilevel"/>
    <w:tmpl w:val="A164F156"/>
    <w:lvl w:ilvl="0" w:tplc="2DA67E90">
      <w:start w:val="1"/>
      <w:numFmt w:val="bullet"/>
      <w:lvlText w:val=""/>
      <w:lvlJc w:val="left"/>
      <w:pPr>
        <w:ind w:left="720" w:hanging="360"/>
      </w:pPr>
      <w:rPr>
        <w:rFonts w:ascii="Symbol" w:hAnsi="Symbol" w:hint="default"/>
      </w:rPr>
    </w:lvl>
    <w:lvl w:ilvl="1" w:tplc="DDD6EC26">
      <w:start w:val="1"/>
      <w:numFmt w:val="bullet"/>
      <w:lvlText w:val="o"/>
      <w:lvlJc w:val="left"/>
      <w:pPr>
        <w:ind w:left="1440" w:hanging="360"/>
      </w:pPr>
      <w:rPr>
        <w:rFonts w:ascii="Courier New" w:hAnsi="Courier New" w:hint="default"/>
      </w:rPr>
    </w:lvl>
    <w:lvl w:ilvl="2" w:tplc="09320308">
      <w:start w:val="1"/>
      <w:numFmt w:val="bullet"/>
      <w:lvlText w:val=""/>
      <w:lvlJc w:val="left"/>
      <w:pPr>
        <w:ind w:left="2160" w:hanging="360"/>
      </w:pPr>
      <w:rPr>
        <w:rFonts w:ascii="Wingdings" w:hAnsi="Wingdings" w:hint="default"/>
      </w:rPr>
    </w:lvl>
    <w:lvl w:ilvl="3" w:tplc="C24C6A34">
      <w:start w:val="1"/>
      <w:numFmt w:val="bullet"/>
      <w:lvlText w:val=""/>
      <w:lvlJc w:val="left"/>
      <w:pPr>
        <w:ind w:left="2880" w:hanging="360"/>
      </w:pPr>
      <w:rPr>
        <w:rFonts w:ascii="Symbol" w:hAnsi="Symbol" w:hint="default"/>
      </w:rPr>
    </w:lvl>
    <w:lvl w:ilvl="4" w:tplc="BA5E37D6">
      <w:start w:val="1"/>
      <w:numFmt w:val="bullet"/>
      <w:lvlText w:val="o"/>
      <w:lvlJc w:val="left"/>
      <w:pPr>
        <w:ind w:left="3600" w:hanging="360"/>
      </w:pPr>
      <w:rPr>
        <w:rFonts w:ascii="Courier New" w:hAnsi="Courier New" w:hint="default"/>
      </w:rPr>
    </w:lvl>
    <w:lvl w:ilvl="5" w:tplc="68A4E9D6">
      <w:start w:val="1"/>
      <w:numFmt w:val="bullet"/>
      <w:lvlText w:val=""/>
      <w:lvlJc w:val="left"/>
      <w:pPr>
        <w:ind w:left="4320" w:hanging="360"/>
      </w:pPr>
      <w:rPr>
        <w:rFonts w:ascii="Wingdings" w:hAnsi="Wingdings" w:hint="default"/>
      </w:rPr>
    </w:lvl>
    <w:lvl w:ilvl="6" w:tplc="74320360">
      <w:start w:val="1"/>
      <w:numFmt w:val="bullet"/>
      <w:lvlText w:val=""/>
      <w:lvlJc w:val="left"/>
      <w:pPr>
        <w:ind w:left="5040" w:hanging="360"/>
      </w:pPr>
      <w:rPr>
        <w:rFonts w:ascii="Symbol" w:hAnsi="Symbol" w:hint="default"/>
      </w:rPr>
    </w:lvl>
    <w:lvl w:ilvl="7" w:tplc="B1DA905E">
      <w:start w:val="1"/>
      <w:numFmt w:val="bullet"/>
      <w:lvlText w:val="o"/>
      <w:lvlJc w:val="left"/>
      <w:pPr>
        <w:ind w:left="5760" w:hanging="360"/>
      </w:pPr>
      <w:rPr>
        <w:rFonts w:ascii="Courier New" w:hAnsi="Courier New" w:hint="default"/>
      </w:rPr>
    </w:lvl>
    <w:lvl w:ilvl="8" w:tplc="129C2A0E">
      <w:start w:val="1"/>
      <w:numFmt w:val="bullet"/>
      <w:lvlText w:val=""/>
      <w:lvlJc w:val="left"/>
      <w:pPr>
        <w:ind w:left="6480" w:hanging="360"/>
      </w:pPr>
      <w:rPr>
        <w:rFonts w:ascii="Wingdings" w:hAnsi="Wingdings" w:hint="default"/>
      </w:rPr>
    </w:lvl>
  </w:abstractNum>
  <w:abstractNum w:abstractNumId="11" w15:restartNumberingAfterBreak="0">
    <w:nsid w:val="65CC460E"/>
    <w:multiLevelType w:val="hybridMultilevel"/>
    <w:tmpl w:val="9FB0A950"/>
    <w:lvl w:ilvl="0" w:tplc="04CAFE3C">
      <w:start w:val="1"/>
      <w:numFmt w:val="bullet"/>
      <w:lvlText w:val=""/>
      <w:lvlJc w:val="left"/>
      <w:pPr>
        <w:ind w:left="720" w:hanging="360"/>
      </w:pPr>
      <w:rPr>
        <w:rFonts w:ascii="Symbol" w:hAnsi="Symbol" w:hint="default"/>
      </w:rPr>
    </w:lvl>
    <w:lvl w:ilvl="1" w:tplc="03620D44">
      <w:start w:val="1"/>
      <w:numFmt w:val="bullet"/>
      <w:lvlText w:val="o"/>
      <w:lvlJc w:val="left"/>
      <w:pPr>
        <w:ind w:left="1440" w:hanging="360"/>
      </w:pPr>
      <w:rPr>
        <w:rFonts w:ascii="Courier New" w:hAnsi="Courier New" w:hint="default"/>
      </w:rPr>
    </w:lvl>
    <w:lvl w:ilvl="2" w:tplc="5A7491D8">
      <w:start w:val="1"/>
      <w:numFmt w:val="bullet"/>
      <w:lvlText w:val=""/>
      <w:lvlJc w:val="left"/>
      <w:pPr>
        <w:ind w:left="2160" w:hanging="360"/>
      </w:pPr>
      <w:rPr>
        <w:rFonts w:ascii="Wingdings" w:hAnsi="Wingdings" w:hint="default"/>
      </w:rPr>
    </w:lvl>
    <w:lvl w:ilvl="3" w:tplc="AE8241EA">
      <w:start w:val="1"/>
      <w:numFmt w:val="bullet"/>
      <w:lvlText w:val=""/>
      <w:lvlJc w:val="left"/>
      <w:pPr>
        <w:ind w:left="2880" w:hanging="360"/>
      </w:pPr>
      <w:rPr>
        <w:rFonts w:ascii="Symbol" w:hAnsi="Symbol" w:hint="default"/>
      </w:rPr>
    </w:lvl>
    <w:lvl w:ilvl="4" w:tplc="093804D6">
      <w:start w:val="1"/>
      <w:numFmt w:val="bullet"/>
      <w:lvlText w:val="o"/>
      <w:lvlJc w:val="left"/>
      <w:pPr>
        <w:ind w:left="3600" w:hanging="360"/>
      </w:pPr>
      <w:rPr>
        <w:rFonts w:ascii="Courier New" w:hAnsi="Courier New" w:hint="default"/>
      </w:rPr>
    </w:lvl>
    <w:lvl w:ilvl="5" w:tplc="BF361454">
      <w:start w:val="1"/>
      <w:numFmt w:val="bullet"/>
      <w:lvlText w:val=""/>
      <w:lvlJc w:val="left"/>
      <w:pPr>
        <w:ind w:left="4320" w:hanging="360"/>
      </w:pPr>
      <w:rPr>
        <w:rFonts w:ascii="Wingdings" w:hAnsi="Wingdings" w:hint="default"/>
      </w:rPr>
    </w:lvl>
    <w:lvl w:ilvl="6" w:tplc="5AE2FD2E">
      <w:start w:val="1"/>
      <w:numFmt w:val="bullet"/>
      <w:lvlText w:val=""/>
      <w:lvlJc w:val="left"/>
      <w:pPr>
        <w:ind w:left="5040" w:hanging="360"/>
      </w:pPr>
      <w:rPr>
        <w:rFonts w:ascii="Symbol" w:hAnsi="Symbol" w:hint="default"/>
      </w:rPr>
    </w:lvl>
    <w:lvl w:ilvl="7" w:tplc="989AF042">
      <w:start w:val="1"/>
      <w:numFmt w:val="bullet"/>
      <w:lvlText w:val="o"/>
      <w:lvlJc w:val="left"/>
      <w:pPr>
        <w:ind w:left="5760" w:hanging="360"/>
      </w:pPr>
      <w:rPr>
        <w:rFonts w:ascii="Courier New" w:hAnsi="Courier New" w:hint="default"/>
      </w:rPr>
    </w:lvl>
    <w:lvl w:ilvl="8" w:tplc="A47835F8">
      <w:start w:val="1"/>
      <w:numFmt w:val="bullet"/>
      <w:lvlText w:val=""/>
      <w:lvlJc w:val="left"/>
      <w:pPr>
        <w:ind w:left="6480" w:hanging="360"/>
      </w:pPr>
      <w:rPr>
        <w:rFonts w:ascii="Wingdings" w:hAnsi="Wingdings" w:hint="default"/>
      </w:rPr>
    </w:lvl>
  </w:abstractNum>
  <w:abstractNum w:abstractNumId="12" w15:restartNumberingAfterBreak="0">
    <w:nsid w:val="6A872137"/>
    <w:multiLevelType w:val="hybridMultilevel"/>
    <w:tmpl w:val="FFFFFFFF"/>
    <w:lvl w:ilvl="0" w:tplc="E610830A">
      <w:start w:val="1"/>
      <w:numFmt w:val="bullet"/>
      <w:lvlText w:val=""/>
      <w:lvlJc w:val="left"/>
      <w:pPr>
        <w:ind w:left="720" w:hanging="360"/>
      </w:pPr>
      <w:rPr>
        <w:rFonts w:ascii="Wingdings" w:hAnsi="Wingdings" w:hint="default"/>
      </w:rPr>
    </w:lvl>
    <w:lvl w:ilvl="1" w:tplc="A45A928E">
      <w:start w:val="1"/>
      <w:numFmt w:val="bullet"/>
      <w:lvlText w:val="o"/>
      <w:lvlJc w:val="left"/>
      <w:pPr>
        <w:ind w:left="1440" w:hanging="360"/>
      </w:pPr>
      <w:rPr>
        <w:rFonts w:ascii="Courier New" w:hAnsi="Courier New" w:hint="default"/>
      </w:rPr>
    </w:lvl>
    <w:lvl w:ilvl="2" w:tplc="CA829A32">
      <w:start w:val="1"/>
      <w:numFmt w:val="bullet"/>
      <w:lvlText w:val=""/>
      <w:lvlJc w:val="left"/>
      <w:pPr>
        <w:ind w:left="2160" w:hanging="360"/>
      </w:pPr>
      <w:rPr>
        <w:rFonts w:ascii="Wingdings" w:hAnsi="Wingdings" w:hint="default"/>
      </w:rPr>
    </w:lvl>
    <w:lvl w:ilvl="3" w:tplc="EA9C1300">
      <w:start w:val="1"/>
      <w:numFmt w:val="bullet"/>
      <w:lvlText w:val=""/>
      <w:lvlJc w:val="left"/>
      <w:pPr>
        <w:ind w:left="2880" w:hanging="360"/>
      </w:pPr>
      <w:rPr>
        <w:rFonts w:ascii="Symbol" w:hAnsi="Symbol" w:hint="default"/>
      </w:rPr>
    </w:lvl>
    <w:lvl w:ilvl="4" w:tplc="386E512C">
      <w:start w:val="1"/>
      <w:numFmt w:val="bullet"/>
      <w:lvlText w:val="o"/>
      <w:lvlJc w:val="left"/>
      <w:pPr>
        <w:ind w:left="3600" w:hanging="360"/>
      </w:pPr>
      <w:rPr>
        <w:rFonts w:ascii="Courier New" w:hAnsi="Courier New" w:hint="default"/>
      </w:rPr>
    </w:lvl>
    <w:lvl w:ilvl="5" w:tplc="6008677E">
      <w:start w:val="1"/>
      <w:numFmt w:val="bullet"/>
      <w:lvlText w:val=""/>
      <w:lvlJc w:val="left"/>
      <w:pPr>
        <w:ind w:left="4320" w:hanging="360"/>
      </w:pPr>
      <w:rPr>
        <w:rFonts w:ascii="Wingdings" w:hAnsi="Wingdings" w:hint="default"/>
      </w:rPr>
    </w:lvl>
    <w:lvl w:ilvl="6" w:tplc="A5067798">
      <w:start w:val="1"/>
      <w:numFmt w:val="bullet"/>
      <w:lvlText w:val=""/>
      <w:lvlJc w:val="left"/>
      <w:pPr>
        <w:ind w:left="5040" w:hanging="360"/>
      </w:pPr>
      <w:rPr>
        <w:rFonts w:ascii="Symbol" w:hAnsi="Symbol" w:hint="default"/>
      </w:rPr>
    </w:lvl>
    <w:lvl w:ilvl="7" w:tplc="A364B4FC">
      <w:start w:val="1"/>
      <w:numFmt w:val="bullet"/>
      <w:lvlText w:val="o"/>
      <w:lvlJc w:val="left"/>
      <w:pPr>
        <w:ind w:left="5760" w:hanging="360"/>
      </w:pPr>
      <w:rPr>
        <w:rFonts w:ascii="Courier New" w:hAnsi="Courier New" w:hint="default"/>
      </w:rPr>
    </w:lvl>
    <w:lvl w:ilvl="8" w:tplc="C8D8876C">
      <w:start w:val="1"/>
      <w:numFmt w:val="bullet"/>
      <w:lvlText w:val=""/>
      <w:lvlJc w:val="left"/>
      <w:pPr>
        <w:ind w:left="6480" w:hanging="360"/>
      </w:pPr>
      <w:rPr>
        <w:rFonts w:ascii="Wingdings" w:hAnsi="Wingdings" w:hint="default"/>
      </w:rPr>
    </w:lvl>
  </w:abstractNum>
  <w:num w:numId="1" w16cid:durableId="1011876589">
    <w:abstractNumId w:val="5"/>
  </w:num>
  <w:num w:numId="2" w16cid:durableId="938829756">
    <w:abstractNumId w:val="2"/>
  </w:num>
  <w:num w:numId="3" w16cid:durableId="1275601860">
    <w:abstractNumId w:val="1"/>
  </w:num>
  <w:num w:numId="4" w16cid:durableId="2139953988">
    <w:abstractNumId w:val="11"/>
  </w:num>
  <w:num w:numId="5" w16cid:durableId="2084639862">
    <w:abstractNumId w:val="4"/>
  </w:num>
  <w:num w:numId="6" w16cid:durableId="564268772">
    <w:abstractNumId w:val="10"/>
  </w:num>
  <w:num w:numId="7" w16cid:durableId="1527019853">
    <w:abstractNumId w:val="6"/>
  </w:num>
  <w:num w:numId="8" w16cid:durableId="415786145">
    <w:abstractNumId w:val="0"/>
  </w:num>
  <w:num w:numId="9" w16cid:durableId="855000970">
    <w:abstractNumId w:val="8"/>
  </w:num>
  <w:num w:numId="10" w16cid:durableId="2120370292">
    <w:abstractNumId w:val="9"/>
  </w:num>
  <w:num w:numId="11" w16cid:durableId="1665859818">
    <w:abstractNumId w:val="3"/>
  </w:num>
  <w:num w:numId="12" w16cid:durableId="724645474">
    <w:abstractNumId w:val="7"/>
  </w:num>
  <w:num w:numId="13" w16cid:durableId="1569076127">
    <w:abstractNumId w:val="12"/>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VIANA YILENA MONROY PRECIADO">
    <w15:presenceInfo w15:providerId="AD" w15:userId="S::vymonroy@minenergia.gov.co::79c26054-8b05-4787-8d15-4092f21a0eb5"/>
  </w15:person>
  <w15:person w15:author="OSCAR SANCHEZ SANCHEZ">
    <w15:presenceInfo w15:providerId="AD" w15:userId="S::osanchez@minenergia.gov.co::28683f3e-6e98-4451-b1c6-3d2036016e01"/>
  </w15:person>
  <w15:person w15:author="OSCAR FABIAN RAMIREZ TORRES">
    <w15:presenceInfo w15:providerId="AD" w15:userId="S::oframirez@minenergia.gov.co::bda2b80c-e133-40fb-bafd-29681837cc0f"/>
  </w15:person>
  <w15:person w15:author="JHON FAUSTINO CHAPARRO SIERRA">
    <w15:presenceInfo w15:providerId="AD" w15:userId="S::jfchaparro@minenergia.gov.co::1accc12b-276f-4597-87e7-408ad7a0146a"/>
  </w15:person>
  <w15:person w15:author="DIEGO FERNANDO URBANO CHAVES">
    <w15:presenceInfo w15:providerId="AD" w15:userId="S::dfurbano@minenergia.gov.co::0f2ffe40-d56a-43ae-9e44-593bfc99d9f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3A2A"/>
    <w:rsid w:val="00001804"/>
    <w:rsid w:val="00001977"/>
    <w:rsid w:val="00001ED8"/>
    <w:rsid w:val="00002B9E"/>
    <w:rsid w:val="00003E73"/>
    <w:rsid w:val="00006D6D"/>
    <w:rsid w:val="00013FC2"/>
    <w:rsid w:val="00016D75"/>
    <w:rsid w:val="00022085"/>
    <w:rsid w:val="00030F57"/>
    <w:rsid w:val="000317A0"/>
    <w:rsid w:val="000320CF"/>
    <w:rsid w:val="00033075"/>
    <w:rsid w:val="0003514B"/>
    <w:rsid w:val="000369FA"/>
    <w:rsid w:val="0003713D"/>
    <w:rsid w:val="00040C25"/>
    <w:rsid w:val="000451BD"/>
    <w:rsid w:val="00046354"/>
    <w:rsid w:val="0004645E"/>
    <w:rsid w:val="00051FEE"/>
    <w:rsid w:val="00052B05"/>
    <w:rsid w:val="00062BFB"/>
    <w:rsid w:val="00064B74"/>
    <w:rsid w:val="000720E5"/>
    <w:rsid w:val="00072D0B"/>
    <w:rsid w:val="00074393"/>
    <w:rsid w:val="00076ABA"/>
    <w:rsid w:val="00080DDE"/>
    <w:rsid w:val="00081E84"/>
    <w:rsid w:val="000838A7"/>
    <w:rsid w:val="000855E8"/>
    <w:rsid w:val="00085A2F"/>
    <w:rsid w:val="00085F4C"/>
    <w:rsid w:val="00087609"/>
    <w:rsid w:val="0009368C"/>
    <w:rsid w:val="000A05D6"/>
    <w:rsid w:val="000A3F0B"/>
    <w:rsid w:val="000B744C"/>
    <w:rsid w:val="000C08E8"/>
    <w:rsid w:val="000C1FEB"/>
    <w:rsid w:val="000C2F3D"/>
    <w:rsid w:val="000C3A1D"/>
    <w:rsid w:val="000D42AE"/>
    <w:rsid w:val="000D6E0C"/>
    <w:rsid w:val="000D7379"/>
    <w:rsid w:val="000E0804"/>
    <w:rsid w:val="000E61B6"/>
    <w:rsid w:val="000F094F"/>
    <w:rsid w:val="000F14EE"/>
    <w:rsid w:val="000F2491"/>
    <w:rsid w:val="00100F6B"/>
    <w:rsid w:val="00101235"/>
    <w:rsid w:val="00103031"/>
    <w:rsid w:val="00104344"/>
    <w:rsid w:val="0010710F"/>
    <w:rsid w:val="00112AA8"/>
    <w:rsid w:val="00113841"/>
    <w:rsid w:val="00113957"/>
    <w:rsid w:val="0011634E"/>
    <w:rsid w:val="00117FCE"/>
    <w:rsid w:val="00123255"/>
    <w:rsid w:val="0013189E"/>
    <w:rsid w:val="001355F7"/>
    <w:rsid w:val="001370FB"/>
    <w:rsid w:val="00140468"/>
    <w:rsid w:val="0014079A"/>
    <w:rsid w:val="001416BC"/>
    <w:rsid w:val="00141764"/>
    <w:rsid w:val="001449AD"/>
    <w:rsid w:val="001541AE"/>
    <w:rsid w:val="00154496"/>
    <w:rsid w:val="00155308"/>
    <w:rsid w:val="001574D0"/>
    <w:rsid w:val="00157B13"/>
    <w:rsid w:val="0016064E"/>
    <w:rsid w:val="00167690"/>
    <w:rsid w:val="001703F1"/>
    <w:rsid w:val="00170842"/>
    <w:rsid w:val="00172E1E"/>
    <w:rsid w:val="00173B12"/>
    <w:rsid w:val="0017741E"/>
    <w:rsid w:val="0018287A"/>
    <w:rsid w:val="00184781"/>
    <w:rsid w:val="00191DE6"/>
    <w:rsid w:val="00192B64"/>
    <w:rsid w:val="0019713F"/>
    <w:rsid w:val="001A2DA4"/>
    <w:rsid w:val="001A2DAF"/>
    <w:rsid w:val="001A33B0"/>
    <w:rsid w:val="001A3ECD"/>
    <w:rsid w:val="001A477A"/>
    <w:rsid w:val="001A6B63"/>
    <w:rsid w:val="001B55AE"/>
    <w:rsid w:val="001B662C"/>
    <w:rsid w:val="001C53E7"/>
    <w:rsid w:val="001D0DA4"/>
    <w:rsid w:val="001D2F52"/>
    <w:rsid w:val="001D563C"/>
    <w:rsid w:val="001E54B6"/>
    <w:rsid w:val="001E56F0"/>
    <w:rsid w:val="001E6CC0"/>
    <w:rsid w:val="001F03A8"/>
    <w:rsid w:val="001F10EE"/>
    <w:rsid w:val="001F1E76"/>
    <w:rsid w:val="001F20AE"/>
    <w:rsid w:val="00211B57"/>
    <w:rsid w:val="00212AB5"/>
    <w:rsid w:val="00220818"/>
    <w:rsid w:val="00230D74"/>
    <w:rsid w:val="0023435C"/>
    <w:rsid w:val="00240492"/>
    <w:rsid w:val="00241C75"/>
    <w:rsid w:val="00243DD6"/>
    <w:rsid w:val="00246739"/>
    <w:rsid w:val="0024678F"/>
    <w:rsid w:val="0024721C"/>
    <w:rsid w:val="002539C5"/>
    <w:rsid w:val="00256372"/>
    <w:rsid w:val="00256623"/>
    <w:rsid w:val="002566AB"/>
    <w:rsid w:val="00257905"/>
    <w:rsid w:val="002701BF"/>
    <w:rsid w:val="002705BD"/>
    <w:rsid w:val="00273068"/>
    <w:rsid w:val="00274CBA"/>
    <w:rsid w:val="00275C87"/>
    <w:rsid w:val="00275F62"/>
    <w:rsid w:val="00277D9B"/>
    <w:rsid w:val="00282AD9"/>
    <w:rsid w:val="0029084D"/>
    <w:rsid w:val="002916BA"/>
    <w:rsid w:val="002916D6"/>
    <w:rsid w:val="00295717"/>
    <w:rsid w:val="0029654C"/>
    <w:rsid w:val="00296B39"/>
    <w:rsid w:val="00297C25"/>
    <w:rsid w:val="002A0438"/>
    <w:rsid w:val="002A09A6"/>
    <w:rsid w:val="002A5BDB"/>
    <w:rsid w:val="002A5CED"/>
    <w:rsid w:val="002B1FBD"/>
    <w:rsid w:val="002B2140"/>
    <w:rsid w:val="002B2A32"/>
    <w:rsid w:val="002B3EC6"/>
    <w:rsid w:val="002B45CD"/>
    <w:rsid w:val="002B5D72"/>
    <w:rsid w:val="002C20E9"/>
    <w:rsid w:val="002C225B"/>
    <w:rsid w:val="002C28D1"/>
    <w:rsid w:val="002C3012"/>
    <w:rsid w:val="002C41F5"/>
    <w:rsid w:val="002C641C"/>
    <w:rsid w:val="002C6943"/>
    <w:rsid w:val="002D167D"/>
    <w:rsid w:val="002D3CC0"/>
    <w:rsid w:val="002D402D"/>
    <w:rsid w:val="002D7DB3"/>
    <w:rsid w:val="002E2424"/>
    <w:rsid w:val="002E2BDC"/>
    <w:rsid w:val="002E2DF7"/>
    <w:rsid w:val="002E44B3"/>
    <w:rsid w:val="002E6291"/>
    <w:rsid w:val="002E6D61"/>
    <w:rsid w:val="002E7EAB"/>
    <w:rsid w:val="002E7F61"/>
    <w:rsid w:val="002F0F51"/>
    <w:rsid w:val="002F28D3"/>
    <w:rsid w:val="002F5560"/>
    <w:rsid w:val="002F6402"/>
    <w:rsid w:val="00300C44"/>
    <w:rsid w:val="0030119A"/>
    <w:rsid w:val="003021ED"/>
    <w:rsid w:val="003043C3"/>
    <w:rsid w:val="00304443"/>
    <w:rsid w:val="0030682F"/>
    <w:rsid w:val="00311269"/>
    <w:rsid w:val="0031603D"/>
    <w:rsid w:val="00316BD4"/>
    <w:rsid w:val="00316DCF"/>
    <w:rsid w:val="0032014F"/>
    <w:rsid w:val="00320DB4"/>
    <w:rsid w:val="00321D23"/>
    <w:rsid w:val="0032271F"/>
    <w:rsid w:val="00326BFC"/>
    <w:rsid w:val="003337A6"/>
    <w:rsid w:val="00336F2A"/>
    <w:rsid w:val="00341393"/>
    <w:rsid w:val="00350784"/>
    <w:rsid w:val="0035250B"/>
    <w:rsid w:val="0035374E"/>
    <w:rsid w:val="00355971"/>
    <w:rsid w:val="00357609"/>
    <w:rsid w:val="00360F41"/>
    <w:rsid w:val="00364375"/>
    <w:rsid w:val="0036455A"/>
    <w:rsid w:val="00364941"/>
    <w:rsid w:val="00365B78"/>
    <w:rsid w:val="00365D36"/>
    <w:rsid w:val="0037061D"/>
    <w:rsid w:val="0037207B"/>
    <w:rsid w:val="00380D65"/>
    <w:rsid w:val="00381BA8"/>
    <w:rsid w:val="0038438B"/>
    <w:rsid w:val="00387289"/>
    <w:rsid w:val="003A1DBF"/>
    <w:rsid w:val="003A32C6"/>
    <w:rsid w:val="003A4A94"/>
    <w:rsid w:val="003B1FF5"/>
    <w:rsid w:val="003B395A"/>
    <w:rsid w:val="003C0B1D"/>
    <w:rsid w:val="003C519B"/>
    <w:rsid w:val="003E0EF7"/>
    <w:rsid w:val="003E2B62"/>
    <w:rsid w:val="003E453F"/>
    <w:rsid w:val="003F7F8B"/>
    <w:rsid w:val="00404BD3"/>
    <w:rsid w:val="0041112C"/>
    <w:rsid w:val="00412A0D"/>
    <w:rsid w:val="004155AC"/>
    <w:rsid w:val="00423773"/>
    <w:rsid w:val="00424A02"/>
    <w:rsid w:val="004343A6"/>
    <w:rsid w:val="00441C57"/>
    <w:rsid w:val="004449B2"/>
    <w:rsid w:val="00445B2F"/>
    <w:rsid w:val="0045112D"/>
    <w:rsid w:val="0045307F"/>
    <w:rsid w:val="00454610"/>
    <w:rsid w:val="00457537"/>
    <w:rsid w:val="004600E4"/>
    <w:rsid w:val="00462648"/>
    <w:rsid w:val="00462BF4"/>
    <w:rsid w:val="00463230"/>
    <w:rsid w:val="00470405"/>
    <w:rsid w:val="00471149"/>
    <w:rsid w:val="0047254D"/>
    <w:rsid w:val="00474CA4"/>
    <w:rsid w:val="0047689A"/>
    <w:rsid w:val="004805FB"/>
    <w:rsid w:val="004818FB"/>
    <w:rsid w:val="00482086"/>
    <w:rsid w:val="00482CFC"/>
    <w:rsid w:val="00486356"/>
    <w:rsid w:val="0049055C"/>
    <w:rsid w:val="00495C70"/>
    <w:rsid w:val="00496FCD"/>
    <w:rsid w:val="004A2840"/>
    <w:rsid w:val="004A3725"/>
    <w:rsid w:val="004B2B62"/>
    <w:rsid w:val="004B3254"/>
    <w:rsid w:val="004B4154"/>
    <w:rsid w:val="004C3694"/>
    <w:rsid w:val="004D49F9"/>
    <w:rsid w:val="004D55E6"/>
    <w:rsid w:val="004D6E69"/>
    <w:rsid w:val="004E2749"/>
    <w:rsid w:val="004E32F6"/>
    <w:rsid w:val="004E46AF"/>
    <w:rsid w:val="004E6418"/>
    <w:rsid w:val="004F0134"/>
    <w:rsid w:val="004F7A21"/>
    <w:rsid w:val="0050200F"/>
    <w:rsid w:val="00510E6C"/>
    <w:rsid w:val="00510F83"/>
    <w:rsid w:val="005110CE"/>
    <w:rsid w:val="00512C65"/>
    <w:rsid w:val="00520321"/>
    <w:rsid w:val="00521308"/>
    <w:rsid w:val="005222A5"/>
    <w:rsid w:val="0052384D"/>
    <w:rsid w:val="005240EE"/>
    <w:rsid w:val="00525384"/>
    <w:rsid w:val="00525FB3"/>
    <w:rsid w:val="00526B7F"/>
    <w:rsid w:val="00532AD3"/>
    <w:rsid w:val="00537140"/>
    <w:rsid w:val="00544473"/>
    <w:rsid w:val="005475EA"/>
    <w:rsid w:val="00547A71"/>
    <w:rsid w:val="0055228A"/>
    <w:rsid w:val="00552312"/>
    <w:rsid w:val="005529E4"/>
    <w:rsid w:val="00552D20"/>
    <w:rsid w:val="00553FDB"/>
    <w:rsid w:val="00560FE8"/>
    <w:rsid w:val="00564F4B"/>
    <w:rsid w:val="0057242B"/>
    <w:rsid w:val="00576B45"/>
    <w:rsid w:val="00581A6D"/>
    <w:rsid w:val="005962FF"/>
    <w:rsid w:val="00597955"/>
    <w:rsid w:val="005A60CD"/>
    <w:rsid w:val="005A7AC0"/>
    <w:rsid w:val="005B2A8C"/>
    <w:rsid w:val="005C1DFB"/>
    <w:rsid w:val="005C753D"/>
    <w:rsid w:val="005D0737"/>
    <w:rsid w:val="005D180E"/>
    <w:rsid w:val="005D3F4F"/>
    <w:rsid w:val="005D53CD"/>
    <w:rsid w:val="005E04C3"/>
    <w:rsid w:val="005E730A"/>
    <w:rsid w:val="005F3FD2"/>
    <w:rsid w:val="005F4E1B"/>
    <w:rsid w:val="005F6B82"/>
    <w:rsid w:val="0060060B"/>
    <w:rsid w:val="00605EB2"/>
    <w:rsid w:val="00611951"/>
    <w:rsid w:val="00612A36"/>
    <w:rsid w:val="00612FB7"/>
    <w:rsid w:val="00613D79"/>
    <w:rsid w:val="0061479E"/>
    <w:rsid w:val="00615091"/>
    <w:rsid w:val="0062260E"/>
    <w:rsid w:val="00623016"/>
    <w:rsid w:val="00636BAE"/>
    <w:rsid w:val="00637B6C"/>
    <w:rsid w:val="0064020B"/>
    <w:rsid w:val="00641839"/>
    <w:rsid w:val="00642347"/>
    <w:rsid w:val="00645ED3"/>
    <w:rsid w:val="006462AD"/>
    <w:rsid w:val="00646562"/>
    <w:rsid w:val="006518DE"/>
    <w:rsid w:val="00652911"/>
    <w:rsid w:val="00655A4A"/>
    <w:rsid w:val="00656FC0"/>
    <w:rsid w:val="00663465"/>
    <w:rsid w:val="00663746"/>
    <w:rsid w:val="006640FE"/>
    <w:rsid w:val="00665E11"/>
    <w:rsid w:val="006707D3"/>
    <w:rsid w:val="00672F04"/>
    <w:rsid w:val="006731BD"/>
    <w:rsid w:val="0067471B"/>
    <w:rsid w:val="00675D75"/>
    <w:rsid w:val="00685361"/>
    <w:rsid w:val="0068630A"/>
    <w:rsid w:val="00688D3D"/>
    <w:rsid w:val="00691AD4"/>
    <w:rsid w:val="006969E6"/>
    <w:rsid w:val="006977EF"/>
    <w:rsid w:val="006A356C"/>
    <w:rsid w:val="006A78A3"/>
    <w:rsid w:val="006C3373"/>
    <w:rsid w:val="006C3D22"/>
    <w:rsid w:val="006C6793"/>
    <w:rsid w:val="006D30CA"/>
    <w:rsid w:val="006D324B"/>
    <w:rsid w:val="006D3769"/>
    <w:rsid w:val="006D7290"/>
    <w:rsid w:val="006E0075"/>
    <w:rsid w:val="006E0737"/>
    <w:rsid w:val="006E1F93"/>
    <w:rsid w:val="006E2161"/>
    <w:rsid w:val="006E2A15"/>
    <w:rsid w:val="006E3E51"/>
    <w:rsid w:val="006E5731"/>
    <w:rsid w:val="006E57FC"/>
    <w:rsid w:val="006E7430"/>
    <w:rsid w:val="006F53C9"/>
    <w:rsid w:val="006F678F"/>
    <w:rsid w:val="00700033"/>
    <w:rsid w:val="00702225"/>
    <w:rsid w:val="007065D1"/>
    <w:rsid w:val="007243CA"/>
    <w:rsid w:val="0072557E"/>
    <w:rsid w:val="00725D4D"/>
    <w:rsid w:val="00727BFC"/>
    <w:rsid w:val="00733757"/>
    <w:rsid w:val="00734F3E"/>
    <w:rsid w:val="00741BD2"/>
    <w:rsid w:val="00741FCB"/>
    <w:rsid w:val="007457F1"/>
    <w:rsid w:val="007502B7"/>
    <w:rsid w:val="00755E18"/>
    <w:rsid w:val="0075661C"/>
    <w:rsid w:val="00756934"/>
    <w:rsid w:val="00761138"/>
    <w:rsid w:val="007766FD"/>
    <w:rsid w:val="00776BBD"/>
    <w:rsid w:val="00777692"/>
    <w:rsid w:val="00781820"/>
    <w:rsid w:val="00782AF2"/>
    <w:rsid w:val="00783AF8"/>
    <w:rsid w:val="00784D95"/>
    <w:rsid w:val="0079361E"/>
    <w:rsid w:val="00794FF6"/>
    <w:rsid w:val="00796C71"/>
    <w:rsid w:val="007A2C54"/>
    <w:rsid w:val="007A3808"/>
    <w:rsid w:val="007A599E"/>
    <w:rsid w:val="007C5A91"/>
    <w:rsid w:val="007C7196"/>
    <w:rsid w:val="007D6EEB"/>
    <w:rsid w:val="007E07A3"/>
    <w:rsid w:val="007E2342"/>
    <w:rsid w:val="007F03FB"/>
    <w:rsid w:val="00831B7C"/>
    <w:rsid w:val="0083288F"/>
    <w:rsid w:val="00834284"/>
    <w:rsid w:val="0083555A"/>
    <w:rsid w:val="00836418"/>
    <w:rsid w:val="00836F7B"/>
    <w:rsid w:val="00841F54"/>
    <w:rsid w:val="00843766"/>
    <w:rsid w:val="008455F2"/>
    <w:rsid w:val="00852753"/>
    <w:rsid w:val="00857E26"/>
    <w:rsid w:val="00862B9B"/>
    <w:rsid w:val="0087094D"/>
    <w:rsid w:val="00871357"/>
    <w:rsid w:val="00873213"/>
    <w:rsid w:val="008746E3"/>
    <w:rsid w:val="00875712"/>
    <w:rsid w:val="00877003"/>
    <w:rsid w:val="00880677"/>
    <w:rsid w:val="00880891"/>
    <w:rsid w:val="008818B3"/>
    <w:rsid w:val="008872CD"/>
    <w:rsid w:val="00890ACD"/>
    <w:rsid w:val="00892D83"/>
    <w:rsid w:val="00893908"/>
    <w:rsid w:val="0089730B"/>
    <w:rsid w:val="00897FF6"/>
    <w:rsid w:val="008A1A9B"/>
    <w:rsid w:val="008A44CD"/>
    <w:rsid w:val="008A5AB0"/>
    <w:rsid w:val="008B3E10"/>
    <w:rsid w:val="008B4932"/>
    <w:rsid w:val="008B4F4A"/>
    <w:rsid w:val="008B5BBC"/>
    <w:rsid w:val="008B686A"/>
    <w:rsid w:val="008C4168"/>
    <w:rsid w:val="008C469F"/>
    <w:rsid w:val="008C6ACC"/>
    <w:rsid w:val="008C791E"/>
    <w:rsid w:val="008C7993"/>
    <w:rsid w:val="008C7DC2"/>
    <w:rsid w:val="008D19FA"/>
    <w:rsid w:val="008D366C"/>
    <w:rsid w:val="008D3707"/>
    <w:rsid w:val="008D7888"/>
    <w:rsid w:val="008E0C42"/>
    <w:rsid w:val="008E2AEF"/>
    <w:rsid w:val="008E2D67"/>
    <w:rsid w:val="008E3EF0"/>
    <w:rsid w:val="008E4FD5"/>
    <w:rsid w:val="008E5B74"/>
    <w:rsid w:val="008F006E"/>
    <w:rsid w:val="008F4FD3"/>
    <w:rsid w:val="00905E64"/>
    <w:rsid w:val="0090624D"/>
    <w:rsid w:val="00906E72"/>
    <w:rsid w:val="0092185D"/>
    <w:rsid w:val="0092325D"/>
    <w:rsid w:val="009276BD"/>
    <w:rsid w:val="00930206"/>
    <w:rsid w:val="009303A7"/>
    <w:rsid w:val="00935A87"/>
    <w:rsid w:val="00940CFC"/>
    <w:rsid w:val="00950163"/>
    <w:rsid w:val="00951B63"/>
    <w:rsid w:val="00957A94"/>
    <w:rsid w:val="0096063F"/>
    <w:rsid w:val="0096092E"/>
    <w:rsid w:val="00967C4D"/>
    <w:rsid w:val="0097055D"/>
    <w:rsid w:val="009729D2"/>
    <w:rsid w:val="00972C2E"/>
    <w:rsid w:val="00973271"/>
    <w:rsid w:val="009768D3"/>
    <w:rsid w:val="0098417B"/>
    <w:rsid w:val="00986B8E"/>
    <w:rsid w:val="00990489"/>
    <w:rsid w:val="00992200"/>
    <w:rsid w:val="00993A94"/>
    <w:rsid w:val="00993D66"/>
    <w:rsid w:val="009944F6"/>
    <w:rsid w:val="00996E3F"/>
    <w:rsid w:val="009A010B"/>
    <w:rsid w:val="009A11B3"/>
    <w:rsid w:val="009A3534"/>
    <w:rsid w:val="009A7C0C"/>
    <w:rsid w:val="009B2529"/>
    <w:rsid w:val="009B45F5"/>
    <w:rsid w:val="009B49DF"/>
    <w:rsid w:val="009B6145"/>
    <w:rsid w:val="009B75C1"/>
    <w:rsid w:val="009C6715"/>
    <w:rsid w:val="009D1CBA"/>
    <w:rsid w:val="009D343E"/>
    <w:rsid w:val="009D5186"/>
    <w:rsid w:val="009E0BE4"/>
    <w:rsid w:val="009E3076"/>
    <w:rsid w:val="009E5F57"/>
    <w:rsid w:val="009E6E6A"/>
    <w:rsid w:val="009F1279"/>
    <w:rsid w:val="009F14C8"/>
    <w:rsid w:val="009F3996"/>
    <w:rsid w:val="009F7C62"/>
    <w:rsid w:val="00A0349D"/>
    <w:rsid w:val="00A03A78"/>
    <w:rsid w:val="00A048A2"/>
    <w:rsid w:val="00A05A20"/>
    <w:rsid w:val="00A05A41"/>
    <w:rsid w:val="00A06935"/>
    <w:rsid w:val="00A14A96"/>
    <w:rsid w:val="00A20CEC"/>
    <w:rsid w:val="00A24287"/>
    <w:rsid w:val="00A26CB1"/>
    <w:rsid w:val="00A35856"/>
    <w:rsid w:val="00A415F4"/>
    <w:rsid w:val="00A43F9C"/>
    <w:rsid w:val="00A44D7A"/>
    <w:rsid w:val="00A45000"/>
    <w:rsid w:val="00A456BB"/>
    <w:rsid w:val="00A50AA0"/>
    <w:rsid w:val="00A529D6"/>
    <w:rsid w:val="00A52C4B"/>
    <w:rsid w:val="00A56143"/>
    <w:rsid w:val="00A6004B"/>
    <w:rsid w:val="00A72F66"/>
    <w:rsid w:val="00A72FA7"/>
    <w:rsid w:val="00A75B55"/>
    <w:rsid w:val="00A778F2"/>
    <w:rsid w:val="00A8354F"/>
    <w:rsid w:val="00A843BE"/>
    <w:rsid w:val="00A9089A"/>
    <w:rsid w:val="00A950FD"/>
    <w:rsid w:val="00A975A4"/>
    <w:rsid w:val="00A97980"/>
    <w:rsid w:val="00AA0758"/>
    <w:rsid w:val="00AA174D"/>
    <w:rsid w:val="00AA3B8B"/>
    <w:rsid w:val="00AA6D0C"/>
    <w:rsid w:val="00AA7ED8"/>
    <w:rsid w:val="00AB6040"/>
    <w:rsid w:val="00AB61FB"/>
    <w:rsid w:val="00AB6632"/>
    <w:rsid w:val="00AB77F0"/>
    <w:rsid w:val="00AC4C81"/>
    <w:rsid w:val="00AC6641"/>
    <w:rsid w:val="00AD1063"/>
    <w:rsid w:val="00AD4A3D"/>
    <w:rsid w:val="00AE1AB1"/>
    <w:rsid w:val="00AE3788"/>
    <w:rsid w:val="00AE55EC"/>
    <w:rsid w:val="00AF089B"/>
    <w:rsid w:val="00AF772E"/>
    <w:rsid w:val="00B070DB"/>
    <w:rsid w:val="00B076E0"/>
    <w:rsid w:val="00B076E2"/>
    <w:rsid w:val="00B11566"/>
    <w:rsid w:val="00B149D8"/>
    <w:rsid w:val="00B2054C"/>
    <w:rsid w:val="00B21ACF"/>
    <w:rsid w:val="00B2523B"/>
    <w:rsid w:val="00B30103"/>
    <w:rsid w:val="00B31444"/>
    <w:rsid w:val="00B34ADE"/>
    <w:rsid w:val="00B41FEA"/>
    <w:rsid w:val="00B42259"/>
    <w:rsid w:val="00B439E0"/>
    <w:rsid w:val="00B50137"/>
    <w:rsid w:val="00B50F28"/>
    <w:rsid w:val="00B53227"/>
    <w:rsid w:val="00B5371F"/>
    <w:rsid w:val="00B55641"/>
    <w:rsid w:val="00B56A26"/>
    <w:rsid w:val="00B57324"/>
    <w:rsid w:val="00B57631"/>
    <w:rsid w:val="00B577F5"/>
    <w:rsid w:val="00B61376"/>
    <w:rsid w:val="00B615D5"/>
    <w:rsid w:val="00B65059"/>
    <w:rsid w:val="00B6713F"/>
    <w:rsid w:val="00B7057F"/>
    <w:rsid w:val="00B72A78"/>
    <w:rsid w:val="00B76D54"/>
    <w:rsid w:val="00B81841"/>
    <w:rsid w:val="00B81ABA"/>
    <w:rsid w:val="00B82D4D"/>
    <w:rsid w:val="00B848DD"/>
    <w:rsid w:val="00B849D4"/>
    <w:rsid w:val="00B84D99"/>
    <w:rsid w:val="00B87D36"/>
    <w:rsid w:val="00B87D3D"/>
    <w:rsid w:val="00B91F98"/>
    <w:rsid w:val="00B92928"/>
    <w:rsid w:val="00B934ED"/>
    <w:rsid w:val="00B97A2A"/>
    <w:rsid w:val="00B9C752"/>
    <w:rsid w:val="00BA2F27"/>
    <w:rsid w:val="00BA3484"/>
    <w:rsid w:val="00BA6109"/>
    <w:rsid w:val="00BB3837"/>
    <w:rsid w:val="00BB4156"/>
    <w:rsid w:val="00BB7AC3"/>
    <w:rsid w:val="00BC1274"/>
    <w:rsid w:val="00BC5489"/>
    <w:rsid w:val="00BC5C7B"/>
    <w:rsid w:val="00BD2D18"/>
    <w:rsid w:val="00BD2DAA"/>
    <w:rsid w:val="00BD4427"/>
    <w:rsid w:val="00BD63C9"/>
    <w:rsid w:val="00BD6CF2"/>
    <w:rsid w:val="00BE086B"/>
    <w:rsid w:val="00BE4AA7"/>
    <w:rsid w:val="00BE7E60"/>
    <w:rsid w:val="00BF4E01"/>
    <w:rsid w:val="00BF4EB4"/>
    <w:rsid w:val="00BF66FE"/>
    <w:rsid w:val="00C01A61"/>
    <w:rsid w:val="00C106D5"/>
    <w:rsid w:val="00C12030"/>
    <w:rsid w:val="00C17618"/>
    <w:rsid w:val="00C17696"/>
    <w:rsid w:val="00C17F2B"/>
    <w:rsid w:val="00C2191E"/>
    <w:rsid w:val="00C22234"/>
    <w:rsid w:val="00C27ED7"/>
    <w:rsid w:val="00C30631"/>
    <w:rsid w:val="00C33B09"/>
    <w:rsid w:val="00C35017"/>
    <w:rsid w:val="00C433A1"/>
    <w:rsid w:val="00C43B10"/>
    <w:rsid w:val="00C479E3"/>
    <w:rsid w:val="00C512F5"/>
    <w:rsid w:val="00C57B0A"/>
    <w:rsid w:val="00C6051B"/>
    <w:rsid w:val="00C654D9"/>
    <w:rsid w:val="00C712D1"/>
    <w:rsid w:val="00C721E6"/>
    <w:rsid w:val="00C76158"/>
    <w:rsid w:val="00C811B4"/>
    <w:rsid w:val="00C819E9"/>
    <w:rsid w:val="00C83ABA"/>
    <w:rsid w:val="00C846C4"/>
    <w:rsid w:val="00C857E5"/>
    <w:rsid w:val="00C86BF4"/>
    <w:rsid w:val="00C915BA"/>
    <w:rsid w:val="00CA17B0"/>
    <w:rsid w:val="00CA2B45"/>
    <w:rsid w:val="00CB142F"/>
    <w:rsid w:val="00CB3B39"/>
    <w:rsid w:val="00CB5B99"/>
    <w:rsid w:val="00CB63D4"/>
    <w:rsid w:val="00CB67DF"/>
    <w:rsid w:val="00CC0D2D"/>
    <w:rsid w:val="00CC1B31"/>
    <w:rsid w:val="00CC4A85"/>
    <w:rsid w:val="00CC5827"/>
    <w:rsid w:val="00CD582F"/>
    <w:rsid w:val="00CE734D"/>
    <w:rsid w:val="00CF694F"/>
    <w:rsid w:val="00D00344"/>
    <w:rsid w:val="00D03419"/>
    <w:rsid w:val="00D05264"/>
    <w:rsid w:val="00D05C00"/>
    <w:rsid w:val="00D13E27"/>
    <w:rsid w:val="00D206BA"/>
    <w:rsid w:val="00D32BF0"/>
    <w:rsid w:val="00D340E8"/>
    <w:rsid w:val="00D50FA9"/>
    <w:rsid w:val="00D54CB4"/>
    <w:rsid w:val="00D55DD1"/>
    <w:rsid w:val="00D578B1"/>
    <w:rsid w:val="00D61E5F"/>
    <w:rsid w:val="00D62F13"/>
    <w:rsid w:val="00D6594D"/>
    <w:rsid w:val="00D65B0B"/>
    <w:rsid w:val="00D73F59"/>
    <w:rsid w:val="00D77B1C"/>
    <w:rsid w:val="00D8240D"/>
    <w:rsid w:val="00D84B2E"/>
    <w:rsid w:val="00D8545E"/>
    <w:rsid w:val="00D85634"/>
    <w:rsid w:val="00D933FF"/>
    <w:rsid w:val="00D9456F"/>
    <w:rsid w:val="00D95A00"/>
    <w:rsid w:val="00DA5865"/>
    <w:rsid w:val="00DB1442"/>
    <w:rsid w:val="00DB458E"/>
    <w:rsid w:val="00DC1142"/>
    <w:rsid w:val="00DC1756"/>
    <w:rsid w:val="00DC22E7"/>
    <w:rsid w:val="00DC252B"/>
    <w:rsid w:val="00DC294A"/>
    <w:rsid w:val="00DC3707"/>
    <w:rsid w:val="00DC7D76"/>
    <w:rsid w:val="00DD0EA8"/>
    <w:rsid w:val="00DD236D"/>
    <w:rsid w:val="00DD5922"/>
    <w:rsid w:val="00DD61E7"/>
    <w:rsid w:val="00DE1B6C"/>
    <w:rsid w:val="00DF24B4"/>
    <w:rsid w:val="00DF2B07"/>
    <w:rsid w:val="00DF5B91"/>
    <w:rsid w:val="00E01E5E"/>
    <w:rsid w:val="00E03421"/>
    <w:rsid w:val="00E05A7E"/>
    <w:rsid w:val="00E06A8E"/>
    <w:rsid w:val="00E113CA"/>
    <w:rsid w:val="00E1302A"/>
    <w:rsid w:val="00E17C63"/>
    <w:rsid w:val="00E20C74"/>
    <w:rsid w:val="00E22B68"/>
    <w:rsid w:val="00E23C75"/>
    <w:rsid w:val="00E39037"/>
    <w:rsid w:val="00E4021C"/>
    <w:rsid w:val="00E43745"/>
    <w:rsid w:val="00E46105"/>
    <w:rsid w:val="00E55ADB"/>
    <w:rsid w:val="00E56789"/>
    <w:rsid w:val="00E625D8"/>
    <w:rsid w:val="00E628C8"/>
    <w:rsid w:val="00E7092F"/>
    <w:rsid w:val="00E759DB"/>
    <w:rsid w:val="00E76B94"/>
    <w:rsid w:val="00E76CC4"/>
    <w:rsid w:val="00E80A53"/>
    <w:rsid w:val="00E87C8E"/>
    <w:rsid w:val="00E91205"/>
    <w:rsid w:val="00E91C44"/>
    <w:rsid w:val="00E928EC"/>
    <w:rsid w:val="00E95A12"/>
    <w:rsid w:val="00EA317A"/>
    <w:rsid w:val="00EA4359"/>
    <w:rsid w:val="00EA455D"/>
    <w:rsid w:val="00EA77BD"/>
    <w:rsid w:val="00EA7C06"/>
    <w:rsid w:val="00EB1769"/>
    <w:rsid w:val="00EB52AB"/>
    <w:rsid w:val="00EB64C7"/>
    <w:rsid w:val="00EB6F99"/>
    <w:rsid w:val="00EC2D74"/>
    <w:rsid w:val="00ED51DE"/>
    <w:rsid w:val="00ED5FD9"/>
    <w:rsid w:val="00EE0100"/>
    <w:rsid w:val="00EE0D7A"/>
    <w:rsid w:val="00EE1404"/>
    <w:rsid w:val="00EE17BD"/>
    <w:rsid w:val="00EE23E2"/>
    <w:rsid w:val="00EE2708"/>
    <w:rsid w:val="00EE3EAD"/>
    <w:rsid w:val="00EE5CFC"/>
    <w:rsid w:val="00EF0F57"/>
    <w:rsid w:val="00EF53AF"/>
    <w:rsid w:val="00EF5813"/>
    <w:rsid w:val="00F02755"/>
    <w:rsid w:val="00F062B4"/>
    <w:rsid w:val="00F10C34"/>
    <w:rsid w:val="00F17D40"/>
    <w:rsid w:val="00F26C27"/>
    <w:rsid w:val="00F30250"/>
    <w:rsid w:val="00F30C57"/>
    <w:rsid w:val="00F320BB"/>
    <w:rsid w:val="00F3227A"/>
    <w:rsid w:val="00F343E8"/>
    <w:rsid w:val="00F34D29"/>
    <w:rsid w:val="00F35C10"/>
    <w:rsid w:val="00F3630B"/>
    <w:rsid w:val="00F543AF"/>
    <w:rsid w:val="00F55EB1"/>
    <w:rsid w:val="00F57FDB"/>
    <w:rsid w:val="00F63C0E"/>
    <w:rsid w:val="00F725AE"/>
    <w:rsid w:val="00F83A2A"/>
    <w:rsid w:val="00F91538"/>
    <w:rsid w:val="00F92410"/>
    <w:rsid w:val="00F9483D"/>
    <w:rsid w:val="00F972D1"/>
    <w:rsid w:val="00FA3BF6"/>
    <w:rsid w:val="00FA49B0"/>
    <w:rsid w:val="00FA6093"/>
    <w:rsid w:val="00FB1825"/>
    <w:rsid w:val="00FB21F1"/>
    <w:rsid w:val="00FB270D"/>
    <w:rsid w:val="00FB5B49"/>
    <w:rsid w:val="00FC1AC0"/>
    <w:rsid w:val="00FC1D6F"/>
    <w:rsid w:val="00FC729F"/>
    <w:rsid w:val="00FC72B9"/>
    <w:rsid w:val="00FC7EED"/>
    <w:rsid w:val="00FD09B3"/>
    <w:rsid w:val="00FD0A1C"/>
    <w:rsid w:val="00FD34BC"/>
    <w:rsid w:val="00FD5FCB"/>
    <w:rsid w:val="00FD6468"/>
    <w:rsid w:val="00FE044D"/>
    <w:rsid w:val="00FE09A2"/>
    <w:rsid w:val="00FE0BCD"/>
    <w:rsid w:val="00FE0DD7"/>
    <w:rsid w:val="00FE31AD"/>
    <w:rsid w:val="00FE3DA0"/>
    <w:rsid w:val="00FE65B0"/>
    <w:rsid w:val="00FF5DAB"/>
    <w:rsid w:val="00FF7D38"/>
    <w:rsid w:val="0107ADF8"/>
    <w:rsid w:val="012A289D"/>
    <w:rsid w:val="014BD044"/>
    <w:rsid w:val="017E5FF0"/>
    <w:rsid w:val="01DD5B50"/>
    <w:rsid w:val="0207090A"/>
    <w:rsid w:val="02AC2DA2"/>
    <w:rsid w:val="02BA660E"/>
    <w:rsid w:val="03001014"/>
    <w:rsid w:val="0328DE18"/>
    <w:rsid w:val="03503C32"/>
    <w:rsid w:val="0376BFBF"/>
    <w:rsid w:val="03A025BE"/>
    <w:rsid w:val="03C96163"/>
    <w:rsid w:val="03F9F3BB"/>
    <w:rsid w:val="041F76F2"/>
    <w:rsid w:val="048374EC"/>
    <w:rsid w:val="04C42405"/>
    <w:rsid w:val="04EB9A4C"/>
    <w:rsid w:val="058DC177"/>
    <w:rsid w:val="05B67A9E"/>
    <w:rsid w:val="05E00C47"/>
    <w:rsid w:val="06012030"/>
    <w:rsid w:val="062DD3BC"/>
    <w:rsid w:val="065D1F53"/>
    <w:rsid w:val="0666C3E2"/>
    <w:rsid w:val="06CC092C"/>
    <w:rsid w:val="06D7BE25"/>
    <w:rsid w:val="070AAA4D"/>
    <w:rsid w:val="0714614B"/>
    <w:rsid w:val="074B7CA0"/>
    <w:rsid w:val="0771A35B"/>
    <w:rsid w:val="0780F38F"/>
    <w:rsid w:val="079D8DDE"/>
    <w:rsid w:val="07C1FD09"/>
    <w:rsid w:val="07C73D05"/>
    <w:rsid w:val="07D320D9"/>
    <w:rsid w:val="07D97590"/>
    <w:rsid w:val="082A4739"/>
    <w:rsid w:val="084A1F80"/>
    <w:rsid w:val="08912705"/>
    <w:rsid w:val="08CE24ED"/>
    <w:rsid w:val="091BF3D0"/>
    <w:rsid w:val="092CB8F7"/>
    <w:rsid w:val="0968BB8A"/>
    <w:rsid w:val="0985DADE"/>
    <w:rsid w:val="09C55C4F"/>
    <w:rsid w:val="09FBB335"/>
    <w:rsid w:val="0A14AD67"/>
    <w:rsid w:val="0A23E2C2"/>
    <w:rsid w:val="0A42C4C1"/>
    <w:rsid w:val="0A52D911"/>
    <w:rsid w:val="0A541485"/>
    <w:rsid w:val="0A9072D7"/>
    <w:rsid w:val="0A928BBC"/>
    <w:rsid w:val="0AF211D3"/>
    <w:rsid w:val="0B0B8B0B"/>
    <w:rsid w:val="0B52388A"/>
    <w:rsid w:val="0B5770C5"/>
    <w:rsid w:val="0B70C7EB"/>
    <w:rsid w:val="0B9B7565"/>
    <w:rsid w:val="0BA6F0A7"/>
    <w:rsid w:val="0BBA9862"/>
    <w:rsid w:val="0BF31AD5"/>
    <w:rsid w:val="0BF72EDB"/>
    <w:rsid w:val="0C4C54A2"/>
    <w:rsid w:val="0C68E6C5"/>
    <w:rsid w:val="0CA73B13"/>
    <w:rsid w:val="0CD6CA10"/>
    <w:rsid w:val="0DA01F5F"/>
    <w:rsid w:val="0DA1B930"/>
    <w:rsid w:val="0DA49FE9"/>
    <w:rsid w:val="0DA61463"/>
    <w:rsid w:val="0DB390CA"/>
    <w:rsid w:val="0DD6954F"/>
    <w:rsid w:val="0DD94B0C"/>
    <w:rsid w:val="0E2A9CC4"/>
    <w:rsid w:val="0E30494E"/>
    <w:rsid w:val="0EB1FE9B"/>
    <w:rsid w:val="0EDAC194"/>
    <w:rsid w:val="0EE81375"/>
    <w:rsid w:val="0F0A9E8A"/>
    <w:rsid w:val="0F43DA93"/>
    <w:rsid w:val="0F4E0210"/>
    <w:rsid w:val="0FE13589"/>
    <w:rsid w:val="0FEA5CB5"/>
    <w:rsid w:val="0FEBB003"/>
    <w:rsid w:val="10170DDE"/>
    <w:rsid w:val="101F220D"/>
    <w:rsid w:val="101FA213"/>
    <w:rsid w:val="102EB8AF"/>
    <w:rsid w:val="103606CC"/>
    <w:rsid w:val="104536FA"/>
    <w:rsid w:val="108E988A"/>
    <w:rsid w:val="10B1AB23"/>
    <w:rsid w:val="11291368"/>
    <w:rsid w:val="112E54DF"/>
    <w:rsid w:val="116651F9"/>
    <w:rsid w:val="11775CCD"/>
    <w:rsid w:val="11977EBA"/>
    <w:rsid w:val="1198131B"/>
    <w:rsid w:val="11D2A685"/>
    <w:rsid w:val="11D2A892"/>
    <w:rsid w:val="11D62878"/>
    <w:rsid w:val="11EBB7C8"/>
    <w:rsid w:val="11F9307A"/>
    <w:rsid w:val="12111844"/>
    <w:rsid w:val="12286CC6"/>
    <w:rsid w:val="122EAE43"/>
    <w:rsid w:val="12D5C114"/>
    <w:rsid w:val="12E4CBBD"/>
    <w:rsid w:val="130E96B4"/>
    <w:rsid w:val="137E7997"/>
    <w:rsid w:val="1390D0EC"/>
    <w:rsid w:val="1390F27E"/>
    <w:rsid w:val="1392C299"/>
    <w:rsid w:val="13CC48B2"/>
    <w:rsid w:val="13DC8DE2"/>
    <w:rsid w:val="1407A318"/>
    <w:rsid w:val="1416834C"/>
    <w:rsid w:val="14242739"/>
    <w:rsid w:val="1424DDB2"/>
    <w:rsid w:val="1471D961"/>
    <w:rsid w:val="148DC465"/>
    <w:rsid w:val="14B854D7"/>
    <w:rsid w:val="14EB2EBB"/>
    <w:rsid w:val="157A0298"/>
    <w:rsid w:val="15B222D9"/>
    <w:rsid w:val="15F33E15"/>
    <w:rsid w:val="1652EACE"/>
    <w:rsid w:val="166EF5C4"/>
    <w:rsid w:val="16784D61"/>
    <w:rsid w:val="169034AF"/>
    <w:rsid w:val="16B512B3"/>
    <w:rsid w:val="16CFC195"/>
    <w:rsid w:val="16D0C058"/>
    <w:rsid w:val="170D2AFC"/>
    <w:rsid w:val="17218E5A"/>
    <w:rsid w:val="173FFF72"/>
    <w:rsid w:val="176D7E28"/>
    <w:rsid w:val="17D28011"/>
    <w:rsid w:val="17FF893D"/>
    <w:rsid w:val="181163D9"/>
    <w:rsid w:val="183F2D88"/>
    <w:rsid w:val="18450F16"/>
    <w:rsid w:val="184C990A"/>
    <w:rsid w:val="1850453A"/>
    <w:rsid w:val="192E7E81"/>
    <w:rsid w:val="193C078C"/>
    <w:rsid w:val="194BD792"/>
    <w:rsid w:val="19669266"/>
    <w:rsid w:val="197DE5D1"/>
    <w:rsid w:val="1982B201"/>
    <w:rsid w:val="19A0C317"/>
    <w:rsid w:val="19C5BFE0"/>
    <w:rsid w:val="19CD5CF7"/>
    <w:rsid w:val="19DD44FD"/>
    <w:rsid w:val="19F5EC6F"/>
    <w:rsid w:val="1A3D81F0"/>
    <w:rsid w:val="1A64F6A9"/>
    <w:rsid w:val="1A7523CD"/>
    <w:rsid w:val="1A89180D"/>
    <w:rsid w:val="1AA1D5A2"/>
    <w:rsid w:val="1B37E4B5"/>
    <w:rsid w:val="1B576AC4"/>
    <w:rsid w:val="1B5C3798"/>
    <w:rsid w:val="1BC0FC0E"/>
    <w:rsid w:val="1BCDC98B"/>
    <w:rsid w:val="1BF73753"/>
    <w:rsid w:val="1C01013A"/>
    <w:rsid w:val="1C25493C"/>
    <w:rsid w:val="1C2FC35C"/>
    <w:rsid w:val="1C36535F"/>
    <w:rsid w:val="1C735C70"/>
    <w:rsid w:val="1C83133E"/>
    <w:rsid w:val="1C8FDB8D"/>
    <w:rsid w:val="1C9EF43D"/>
    <w:rsid w:val="1CA8EBB0"/>
    <w:rsid w:val="1CB2728E"/>
    <w:rsid w:val="1D41F406"/>
    <w:rsid w:val="1D53A64B"/>
    <w:rsid w:val="1D805387"/>
    <w:rsid w:val="1DB5D6A2"/>
    <w:rsid w:val="1DDB2BE3"/>
    <w:rsid w:val="1DE48276"/>
    <w:rsid w:val="1DF19DC8"/>
    <w:rsid w:val="1E1E6F58"/>
    <w:rsid w:val="1E547479"/>
    <w:rsid w:val="1E59E046"/>
    <w:rsid w:val="1E98555B"/>
    <w:rsid w:val="1EBE41F2"/>
    <w:rsid w:val="1EC50C01"/>
    <w:rsid w:val="1EF55841"/>
    <w:rsid w:val="1F1C8C7C"/>
    <w:rsid w:val="1F36D5A8"/>
    <w:rsid w:val="1F374E80"/>
    <w:rsid w:val="1F7314E7"/>
    <w:rsid w:val="1F865993"/>
    <w:rsid w:val="1F94755F"/>
    <w:rsid w:val="1FB7A9DE"/>
    <w:rsid w:val="1FD002F6"/>
    <w:rsid w:val="201F5A1C"/>
    <w:rsid w:val="202CE1FB"/>
    <w:rsid w:val="2058FE25"/>
    <w:rsid w:val="20712D99"/>
    <w:rsid w:val="209B72FC"/>
    <w:rsid w:val="209BD6F7"/>
    <w:rsid w:val="21361721"/>
    <w:rsid w:val="21405157"/>
    <w:rsid w:val="21503A6E"/>
    <w:rsid w:val="21B61EE6"/>
    <w:rsid w:val="21CF3AF1"/>
    <w:rsid w:val="21E249B2"/>
    <w:rsid w:val="2203DFAE"/>
    <w:rsid w:val="220E028F"/>
    <w:rsid w:val="22114772"/>
    <w:rsid w:val="221DAA13"/>
    <w:rsid w:val="2227DFD8"/>
    <w:rsid w:val="223DB5D3"/>
    <w:rsid w:val="224D9002"/>
    <w:rsid w:val="2255617F"/>
    <w:rsid w:val="22738309"/>
    <w:rsid w:val="228EE5E3"/>
    <w:rsid w:val="22AC3351"/>
    <w:rsid w:val="22D087D3"/>
    <w:rsid w:val="22D111EC"/>
    <w:rsid w:val="23290228"/>
    <w:rsid w:val="23CE2DE3"/>
    <w:rsid w:val="23F77BA6"/>
    <w:rsid w:val="24242B6F"/>
    <w:rsid w:val="24384BA5"/>
    <w:rsid w:val="24AE9D2A"/>
    <w:rsid w:val="24E9680D"/>
    <w:rsid w:val="25133A37"/>
    <w:rsid w:val="2533A888"/>
    <w:rsid w:val="2572BCAA"/>
    <w:rsid w:val="25A1BFB8"/>
    <w:rsid w:val="25B69697"/>
    <w:rsid w:val="25E11D48"/>
    <w:rsid w:val="25F11C14"/>
    <w:rsid w:val="25F930EC"/>
    <w:rsid w:val="263C1471"/>
    <w:rsid w:val="269C07DF"/>
    <w:rsid w:val="26C9D1AF"/>
    <w:rsid w:val="26CE3B16"/>
    <w:rsid w:val="2701CDA3"/>
    <w:rsid w:val="277458B4"/>
    <w:rsid w:val="277DEF02"/>
    <w:rsid w:val="278766BB"/>
    <w:rsid w:val="279A06AD"/>
    <w:rsid w:val="27B58107"/>
    <w:rsid w:val="2839209E"/>
    <w:rsid w:val="289BDED5"/>
    <w:rsid w:val="28BF3A59"/>
    <w:rsid w:val="28D2E3B6"/>
    <w:rsid w:val="28D629C8"/>
    <w:rsid w:val="28E2A90C"/>
    <w:rsid w:val="294779E0"/>
    <w:rsid w:val="2959CE96"/>
    <w:rsid w:val="29735E99"/>
    <w:rsid w:val="29C0B7D2"/>
    <w:rsid w:val="29FF1070"/>
    <w:rsid w:val="2A3A52B9"/>
    <w:rsid w:val="2A7A2889"/>
    <w:rsid w:val="2A9A90CD"/>
    <w:rsid w:val="2A9FCB9F"/>
    <w:rsid w:val="2ACDE238"/>
    <w:rsid w:val="2B0A867C"/>
    <w:rsid w:val="2B3D18D6"/>
    <w:rsid w:val="2B5DE873"/>
    <w:rsid w:val="2BC40C14"/>
    <w:rsid w:val="2BC994CC"/>
    <w:rsid w:val="2BF0E7CA"/>
    <w:rsid w:val="2C31776D"/>
    <w:rsid w:val="2C509F97"/>
    <w:rsid w:val="2CB15286"/>
    <w:rsid w:val="2CC641BC"/>
    <w:rsid w:val="2CF21B7A"/>
    <w:rsid w:val="2CFCE7DD"/>
    <w:rsid w:val="2D076150"/>
    <w:rsid w:val="2D8B1CB7"/>
    <w:rsid w:val="2DF045F5"/>
    <w:rsid w:val="2E15F8D4"/>
    <w:rsid w:val="2E29FF73"/>
    <w:rsid w:val="2E535BCC"/>
    <w:rsid w:val="2E5C2B2F"/>
    <w:rsid w:val="2E7C59F2"/>
    <w:rsid w:val="2EE8839E"/>
    <w:rsid w:val="2F1C104E"/>
    <w:rsid w:val="2F9B0A31"/>
    <w:rsid w:val="2FA3A15D"/>
    <w:rsid w:val="2FFD9F32"/>
    <w:rsid w:val="30007006"/>
    <w:rsid w:val="302D0E39"/>
    <w:rsid w:val="3053659F"/>
    <w:rsid w:val="307969D3"/>
    <w:rsid w:val="307E47EC"/>
    <w:rsid w:val="30B0CF5E"/>
    <w:rsid w:val="30FBD107"/>
    <w:rsid w:val="3134104C"/>
    <w:rsid w:val="315130A2"/>
    <w:rsid w:val="317D88F4"/>
    <w:rsid w:val="319E507A"/>
    <w:rsid w:val="31BC43FD"/>
    <w:rsid w:val="31BC7508"/>
    <w:rsid w:val="31C35A16"/>
    <w:rsid w:val="31D4EB00"/>
    <w:rsid w:val="32B79522"/>
    <w:rsid w:val="32F42B1B"/>
    <w:rsid w:val="3319032F"/>
    <w:rsid w:val="33551471"/>
    <w:rsid w:val="33818FF5"/>
    <w:rsid w:val="338FC6F5"/>
    <w:rsid w:val="339118D1"/>
    <w:rsid w:val="3393367A"/>
    <w:rsid w:val="33993CA7"/>
    <w:rsid w:val="33BB5E62"/>
    <w:rsid w:val="34318014"/>
    <w:rsid w:val="343FE85E"/>
    <w:rsid w:val="3453F234"/>
    <w:rsid w:val="347CD090"/>
    <w:rsid w:val="34BF22A0"/>
    <w:rsid w:val="3508F381"/>
    <w:rsid w:val="3521873B"/>
    <w:rsid w:val="35218EAB"/>
    <w:rsid w:val="3544260B"/>
    <w:rsid w:val="35E3F764"/>
    <w:rsid w:val="35FD686D"/>
    <w:rsid w:val="362F9A54"/>
    <w:rsid w:val="3637132E"/>
    <w:rsid w:val="364889D1"/>
    <w:rsid w:val="365530DB"/>
    <w:rsid w:val="366FDD5A"/>
    <w:rsid w:val="36C1A267"/>
    <w:rsid w:val="36C842AB"/>
    <w:rsid w:val="36DB467C"/>
    <w:rsid w:val="3708033A"/>
    <w:rsid w:val="372349A8"/>
    <w:rsid w:val="372AE240"/>
    <w:rsid w:val="37AEEDBC"/>
    <w:rsid w:val="37B72462"/>
    <w:rsid w:val="37BF8C11"/>
    <w:rsid w:val="38223DD7"/>
    <w:rsid w:val="3843AE37"/>
    <w:rsid w:val="385703FF"/>
    <w:rsid w:val="38AD4277"/>
    <w:rsid w:val="38CCBEA8"/>
    <w:rsid w:val="38ED588E"/>
    <w:rsid w:val="38F533B5"/>
    <w:rsid w:val="3935943A"/>
    <w:rsid w:val="39613EF8"/>
    <w:rsid w:val="396A4C07"/>
    <w:rsid w:val="39A15801"/>
    <w:rsid w:val="39CAF3A4"/>
    <w:rsid w:val="39F364A1"/>
    <w:rsid w:val="3A1D5576"/>
    <w:rsid w:val="3A39D90B"/>
    <w:rsid w:val="3A49FF24"/>
    <w:rsid w:val="3A7DEF37"/>
    <w:rsid w:val="3A935E3D"/>
    <w:rsid w:val="3AAC1778"/>
    <w:rsid w:val="3AB002C5"/>
    <w:rsid w:val="3AC9A53E"/>
    <w:rsid w:val="3AE72B14"/>
    <w:rsid w:val="3B196B3A"/>
    <w:rsid w:val="3B5B0359"/>
    <w:rsid w:val="3B63355B"/>
    <w:rsid w:val="3B665605"/>
    <w:rsid w:val="3BB18A7A"/>
    <w:rsid w:val="3BBBE52D"/>
    <w:rsid w:val="3BDCAA7D"/>
    <w:rsid w:val="3BE50682"/>
    <w:rsid w:val="3C51B190"/>
    <w:rsid w:val="3CA62437"/>
    <w:rsid w:val="3CB92FE9"/>
    <w:rsid w:val="3CD7087F"/>
    <w:rsid w:val="3CE0D95B"/>
    <w:rsid w:val="3CFC369D"/>
    <w:rsid w:val="3D038784"/>
    <w:rsid w:val="3D05FFAD"/>
    <w:rsid w:val="3D381677"/>
    <w:rsid w:val="3D49448A"/>
    <w:rsid w:val="3D4C7F3D"/>
    <w:rsid w:val="3D52D7AA"/>
    <w:rsid w:val="3D719AB3"/>
    <w:rsid w:val="3D896757"/>
    <w:rsid w:val="3E1D7674"/>
    <w:rsid w:val="3E2D863F"/>
    <w:rsid w:val="3E68862A"/>
    <w:rsid w:val="3E70CA4A"/>
    <w:rsid w:val="3E75632E"/>
    <w:rsid w:val="3EB86664"/>
    <w:rsid w:val="3EB9EDBB"/>
    <w:rsid w:val="3EEF05F0"/>
    <w:rsid w:val="3EFC8584"/>
    <w:rsid w:val="3F164E32"/>
    <w:rsid w:val="3F173B77"/>
    <w:rsid w:val="3F625CBD"/>
    <w:rsid w:val="3F68F172"/>
    <w:rsid w:val="3FDBF8DB"/>
    <w:rsid w:val="3FE2F952"/>
    <w:rsid w:val="40038297"/>
    <w:rsid w:val="40205BBA"/>
    <w:rsid w:val="402575B4"/>
    <w:rsid w:val="4032C3A8"/>
    <w:rsid w:val="4041E9D6"/>
    <w:rsid w:val="4085F405"/>
    <w:rsid w:val="4090D9B3"/>
    <w:rsid w:val="40F56883"/>
    <w:rsid w:val="4109E8BC"/>
    <w:rsid w:val="41117944"/>
    <w:rsid w:val="41168B5E"/>
    <w:rsid w:val="41A3B488"/>
    <w:rsid w:val="41B08737"/>
    <w:rsid w:val="41B2BAE6"/>
    <w:rsid w:val="41D9A6C6"/>
    <w:rsid w:val="422D7101"/>
    <w:rsid w:val="429556B1"/>
    <w:rsid w:val="42C9FDC1"/>
    <w:rsid w:val="42EC413D"/>
    <w:rsid w:val="42EFA55D"/>
    <w:rsid w:val="42F812DC"/>
    <w:rsid w:val="431313EB"/>
    <w:rsid w:val="43249A50"/>
    <w:rsid w:val="4375C746"/>
    <w:rsid w:val="438325FB"/>
    <w:rsid w:val="43A619A1"/>
    <w:rsid w:val="43C33B1E"/>
    <w:rsid w:val="43DC979E"/>
    <w:rsid w:val="444630CE"/>
    <w:rsid w:val="446A0C03"/>
    <w:rsid w:val="44940BEA"/>
    <w:rsid w:val="44AC68C0"/>
    <w:rsid w:val="44AD296D"/>
    <w:rsid w:val="45250AAD"/>
    <w:rsid w:val="45290B9F"/>
    <w:rsid w:val="455CA0D3"/>
    <w:rsid w:val="45A85C18"/>
    <w:rsid w:val="45A95CE0"/>
    <w:rsid w:val="4613A3A2"/>
    <w:rsid w:val="46194B04"/>
    <w:rsid w:val="465F2214"/>
    <w:rsid w:val="466A0368"/>
    <w:rsid w:val="46711C56"/>
    <w:rsid w:val="46798A06"/>
    <w:rsid w:val="4683F548"/>
    <w:rsid w:val="4686CA4D"/>
    <w:rsid w:val="471EE3D1"/>
    <w:rsid w:val="475FD01E"/>
    <w:rsid w:val="477BBA50"/>
    <w:rsid w:val="479CD3CF"/>
    <w:rsid w:val="47C7FB4B"/>
    <w:rsid w:val="48628DC4"/>
    <w:rsid w:val="486724CA"/>
    <w:rsid w:val="49080C45"/>
    <w:rsid w:val="493B1AFE"/>
    <w:rsid w:val="4943EB90"/>
    <w:rsid w:val="494C8AF7"/>
    <w:rsid w:val="495B5C1E"/>
    <w:rsid w:val="49867A68"/>
    <w:rsid w:val="49915DD4"/>
    <w:rsid w:val="49A6419C"/>
    <w:rsid w:val="49D31E6A"/>
    <w:rsid w:val="49DD050F"/>
    <w:rsid w:val="49DED831"/>
    <w:rsid w:val="4A1CD881"/>
    <w:rsid w:val="4A1D2B83"/>
    <w:rsid w:val="4A47E2FD"/>
    <w:rsid w:val="4A70CA35"/>
    <w:rsid w:val="4A868149"/>
    <w:rsid w:val="4AA02953"/>
    <w:rsid w:val="4AD0F5DD"/>
    <w:rsid w:val="4AD58FE5"/>
    <w:rsid w:val="4AE2914B"/>
    <w:rsid w:val="4AFF87FA"/>
    <w:rsid w:val="4B357061"/>
    <w:rsid w:val="4B442D56"/>
    <w:rsid w:val="4B6834A9"/>
    <w:rsid w:val="4BA5088F"/>
    <w:rsid w:val="4BE6B470"/>
    <w:rsid w:val="4C1D3574"/>
    <w:rsid w:val="4C1F1AF5"/>
    <w:rsid w:val="4C645C9D"/>
    <w:rsid w:val="4C72BDE5"/>
    <w:rsid w:val="4C82AB77"/>
    <w:rsid w:val="4C8D5327"/>
    <w:rsid w:val="4D0A85B4"/>
    <w:rsid w:val="4D2AF54F"/>
    <w:rsid w:val="4D4BD650"/>
    <w:rsid w:val="4D6A659D"/>
    <w:rsid w:val="4D855100"/>
    <w:rsid w:val="4D916F29"/>
    <w:rsid w:val="4DD799BB"/>
    <w:rsid w:val="4E23375E"/>
    <w:rsid w:val="4E4A9795"/>
    <w:rsid w:val="4E5E808E"/>
    <w:rsid w:val="4E5F7794"/>
    <w:rsid w:val="4EAE06BC"/>
    <w:rsid w:val="4EE71B2B"/>
    <w:rsid w:val="4F05F806"/>
    <w:rsid w:val="4F0FF01F"/>
    <w:rsid w:val="4F26743F"/>
    <w:rsid w:val="4F363D3B"/>
    <w:rsid w:val="4F4EF999"/>
    <w:rsid w:val="4F9A348F"/>
    <w:rsid w:val="4F9A6D8B"/>
    <w:rsid w:val="4F9CBE55"/>
    <w:rsid w:val="4FF2FE0B"/>
    <w:rsid w:val="5045635E"/>
    <w:rsid w:val="5049A51B"/>
    <w:rsid w:val="50A04685"/>
    <w:rsid w:val="51093E80"/>
    <w:rsid w:val="510C1D72"/>
    <w:rsid w:val="514EE86A"/>
    <w:rsid w:val="51D58C45"/>
    <w:rsid w:val="51F13E08"/>
    <w:rsid w:val="524C9C78"/>
    <w:rsid w:val="528A3AEA"/>
    <w:rsid w:val="530B01E9"/>
    <w:rsid w:val="536EC917"/>
    <w:rsid w:val="53997329"/>
    <w:rsid w:val="53A7395A"/>
    <w:rsid w:val="53ECB20F"/>
    <w:rsid w:val="542E4652"/>
    <w:rsid w:val="54460D17"/>
    <w:rsid w:val="54540E8F"/>
    <w:rsid w:val="546ADE46"/>
    <w:rsid w:val="547E98E0"/>
    <w:rsid w:val="54837EC3"/>
    <w:rsid w:val="54DB1208"/>
    <w:rsid w:val="54DC568F"/>
    <w:rsid w:val="54F6E1EB"/>
    <w:rsid w:val="54FEC654"/>
    <w:rsid w:val="55781BE8"/>
    <w:rsid w:val="55A0800B"/>
    <w:rsid w:val="55DBD509"/>
    <w:rsid w:val="55E65667"/>
    <w:rsid w:val="560A5F11"/>
    <w:rsid w:val="5642A010"/>
    <w:rsid w:val="564E94B8"/>
    <w:rsid w:val="56AB8884"/>
    <w:rsid w:val="56D94671"/>
    <w:rsid w:val="56F129D4"/>
    <w:rsid w:val="56FB541D"/>
    <w:rsid w:val="572B9185"/>
    <w:rsid w:val="572EEB54"/>
    <w:rsid w:val="5744C3CD"/>
    <w:rsid w:val="578728C0"/>
    <w:rsid w:val="5794CC9A"/>
    <w:rsid w:val="57AA86B5"/>
    <w:rsid w:val="57AAEF89"/>
    <w:rsid w:val="57D9839C"/>
    <w:rsid w:val="57E51CAF"/>
    <w:rsid w:val="5807DF38"/>
    <w:rsid w:val="581B0B21"/>
    <w:rsid w:val="588B8BE8"/>
    <w:rsid w:val="58A78EC0"/>
    <w:rsid w:val="58BFEA9D"/>
    <w:rsid w:val="58F08C07"/>
    <w:rsid w:val="5953236E"/>
    <w:rsid w:val="59FF4C8D"/>
    <w:rsid w:val="5A0C80F6"/>
    <w:rsid w:val="5A175B24"/>
    <w:rsid w:val="5A3A0053"/>
    <w:rsid w:val="5A56E9A7"/>
    <w:rsid w:val="5AAF9333"/>
    <w:rsid w:val="5ABAA37A"/>
    <w:rsid w:val="5AE23BB6"/>
    <w:rsid w:val="5AECC0D3"/>
    <w:rsid w:val="5B023357"/>
    <w:rsid w:val="5BC77CF9"/>
    <w:rsid w:val="5BD6B926"/>
    <w:rsid w:val="5C4F9293"/>
    <w:rsid w:val="5C78E2A3"/>
    <w:rsid w:val="5CF248AD"/>
    <w:rsid w:val="5D0AC2BD"/>
    <w:rsid w:val="5D203BF8"/>
    <w:rsid w:val="5D9070EC"/>
    <w:rsid w:val="5D9BC08F"/>
    <w:rsid w:val="5DB5A670"/>
    <w:rsid w:val="5DC1E522"/>
    <w:rsid w:val="5DDCD753"/>
    <w:rsid w:val="5DE0B854"/>
    <w:rsid w:val="5DFEB944"/>
    <w:rsid w:val="5E55D782"/>
    <w:rsid w:val="5E71397B"/>
    <w:rsid w:val="5EB4B2C2"/>
    <w:rsid w:val="5EC2D718"/>
    <w:rsid w:val="5F60FDFB"/>
    <w:rsid w:val="5F8DE42F"/>
    <w:rsid w:val="5F90D2BF"/>
    <w:rsid w:val="5F9DA0C1"/>
    <w:rsid w:val="5FB9ACB3"/>
    <w:rsid w:val="5FF74CE7"/>
    <w:rsid w:val="6032CFCE"/>
    <w:rsid w:val="609C2C64"/>
    <w:rsid w:val="60E50F35"/>
    <w:rsid w:val="610080DE"/>
    <w:rsid w:val="611BBFC2"/>
    <w:rsid w:val="6150D17F"/>
    <w:rsid w:val="61556163"/>
    <w:rsid w:val="6185CB8C"/>
    <w:rsid w:val="6217D3E8"/>
    <w:rsid w:val="625A236F"/>
    <w:rsid w:val="6279A0E1"/>
    <w:rsid w:val="62AD76B9"/>
    <w:rsid w:val="62C85F97"/>
    <w:rsid w:val="62EF3B73"/>
    <w:rsid w:val="631422FF"/>
    <w:rsid w:val="6350C44E"/>
    <w:rsid w:val="63696D82"/>
    <w:rsid w:val="639FB77A"/>
    <w:rsid w:val="63CE9EEB"/>
    <w:rsid w:val="63FC5CC9"/>
    <w:rsid w:val="64043FCE"/>
    <w:rsid w:val="640D0D3E"/>
    <w:rsid w:val="6419BC7D"/>
    <w:rsid w:val="6419F07F"/>
    <w:rsid w:val="642B55D5"/>
    <w:rsid w:val="64555D01"/>
    <w:rsid w:val="6460D128"/>
    <w:rsid w:val="64739AC9"/>
    <w:rsid w:val="64BAE0D7"/>
    <w:rsid w:val="64C2B646"/>
    <w:rsid w:val="64C69D5B"/>
    <w:rsid w:val="64FA287E"/>
    <w:rsid w:val="65061236"/>
    <w:rsid w:val="653BA95E"/>
    <w:rsid w:val="65AF8372"/>
    <w:rsid w:val="65BF4C3C"/>
    <w:rsid w:val="65ECE020"/>
    <w:rsid w:val="66090B97"/>
    <w:rsid w:val="669E2E87"/>
    <w:rsid w:val="66AD16A8"/>
    <w:rsid w:val="66C4B496"/>
    <w:rsid w:val="67547354"/>
    <w:rsid w:val="6758557B"/>
    <w:rsid w:val="6759D21B"/>
    <w:rsid w:val="67758B12"/>
    <w:rsid w:val="67BD908E"/>
    <w:rsid w:val="67D2E367"/>
    <w:rsid w:val="67F9EACA"/>
    <w:rsid w:val="68123099"/>
    <w:rsid w:val="6841BA5E"/>
    <w:rsid w:val="68A46649"/>
    <w:rsid w:val="68A88D5A"/>
    <w:rsid w:val="68B1CF51"/>
    <w:rsid w:val="68EBF37D"/>
    <w:rsid w:val="68F695D9"/>
    <w:rsid w:val="6932875E"/>
    <w:rsid w:val="6940C3C6"/>
    <w:rsid w:val="6966A737"/>
    <w:rsid w:val="697551E4"/>
    <w:rsid w:val="6983E1C3"/>
    <w:rsid w:val="699BECB3"/>
    <w:rsid w:val="69A3D3BD"/>
    <w:rsid w:val="69A9C19B"/>
    <w:rsid w:val="69BCDC96"/>
    <w:rsid w:val="69CA7D6A"/>
    <w:rsid w:val="69EF2FD1"/>
    <w:rsid w:val="6A1C73F1"/>
    <w:rsid w:val="6A1ED138"/>
    <w:rsid w:val="6A3FF704"/>
    <w:rsid w:val="6A66901E"/>
    <w:rsid w:val="6A6FBB97"/>
    <w:rsid w:val="6A713887"/>
    <w:rsid w:val="6A8098A1"/>
    <w:rsid w:val="6A8CA1E6"/>
    <w:rsid w:val="6AAD63A5"/>
    <w:rsid w:val="6B41B9F4"/>
    <w:rsid w:val="6B7CA440"/>
    <w:rsid w:val="6B88B514"/>
    <w:rsid w:val="6BA0C7B8"/>
    <w:rsid w:val="6BB9ED6E"/>
    <w:rsid w:val="6BCEFC41"/>
    <w:rsid w:val="6BF8CCB9"/>
    <w:rsid w:val="6C0B3AFA"/>
    <w:rsid w:val="6C16A6D1"/>
    <w:rsid w:val="6C452F14"/>
    <w:rsid w:val="6C5C0F65"/>
    <w:rsid w:val="6C873781"/>
    <w:rsid w:val="6CBA77EF"/>
    <w:rsid w:val="6CBAB382"/>
    <w:rsid w:val="6CCCE735"/>
    <w:rsid w:val="6D36DF74"/>
    <w:rsid w:val="6D65AB28"/>
    <w:rsid w:val="6D794501"/>
    <w:rsid w:val="6E094DD9"/>
    <w:rsid w:val="6E1E4B6B"/>
    <w:rsid w:val="6E2E0DF9"/>
    <w:rsid w:val="6E64D63C"/>
    <w:rsid w:val="6EA45C71"/>
    <w:rsid w:val="6F61A991"/>
    <w:rsid w:val="6F638838"/>
    <w:rsid w:val="6F6E5AB6"/>
    <w:rsid w:val="6F9A8C19"/>
    <w:rsid w:val="6FCA794F"/>
    <w:rsid w:val="706D82BB"/>
    <w:rsid w:val="70775B2B"/>
    <w:rsid w:val="70869EBF"/>
    <w:rsid w:val="70890EC5"/>
    <w:rsid w:val="70AF686E"/>
    <w:rsid w:val="70D4D411"/>
    <w:rsid w:val="719A346F"/>
    <w:rsid w:val="71AAA270"/>
    <w:rsid w:val="71ADAD9E"/>
    <w:rsid w:val="71D4D556"/>
    <w:rsid w:val="71ECAF16"/>
    <w:rsid w:val="7218C9C7"/>
    <w:rsid w:val="721B2A5F"/>
    <w:rsid w:val="72322C00"/>
    <w:rsid w:val="7234C533"/>
    <w:rsid w:val="7278DE4E"/>
    <w:rsid w:val="72B2CD66"/>
    <w:rsid w:val="72CD1FA0"/>
    <w:rsid w:val="72D08C1E"/>
    <w:rsid w:val="72DBADD4"/>
    <w:rsid w:val="72E0634E"/>
    <w:rsid w:val="731486E6"/>
    <w:rsid w:val="7328FF4D"/>
    <w:rsid w:val="7362DE72"/>
    <w:rsid w:val="7390C391"/>
    <w:rsid w:val="73A7CF6D"/>
    <w:rsid w:val="73D11F0B"/>
    <w:rsid w:val="73D3A333"/>
    <w:rsid w:val="7410219A"/>
    <w:rsid w:val="74572518"/>
    <w:rsid w:val="7489BA2E"/>
    <w:rsid w:val="749C3A7B"/>
    <w:rsid w:val="74E17592"/>
    <w:rsid w:val="7505FD8C"/>
    <w:rsid w:val="750770E4"/>
    <w:rsid w:val="757E09CA"/>
    <w:rsid w:val="75866583"/>
    <w:rsid w:val="75BFE24D"/>
    <w:rsid w:val="761656C6"/>
    <w:rsid w:val="76219242"/>
    <w:rsid w:val="76264AD4"/>
    <w:rsid w:val="76338B12"/>
    <w:rsid w:val="764CBB0A"/>
    <w:rsid w:val="767053FA"/>
    <w:rsid w:val="76E5299E"/>
    <w:rsid w:val="76F37643"/>
    <w:rsid w:val="76FFC8C9"/>
    <w:rsid w:val="771B9AF1"/>
    <w:rsid w:val="772C9756"/>
    <w:rsid w:val="776430A2"/>
    <w:rsid w:val="77665741"/>
    <w:rsid w:val="77689C34"/>
    <w:rsid w:val="784DF23B"/>
    <w:rsid w:val="78572609"/>
    <w:rsid w:val="786C3CCE"/>
    <w:rsid w:val="78D77253"/>
    <w:rsid w:val="78F583C2"/>
    <w:rsid w:val="79072543"/>
    <w:rsid w:val="790FD403"/>
    <w:rsid w:val="79138940"/>
    <w:rsid w:val="79369F2F"/>
    <w:rsid w:val="793E295C"/>
    <w:rsid w:val="7961215B"/>
    <w:rsid w:val="796128AC"/>
    <w:rsid w:val="7968EA41"/>
    <w:rsid w:val="796D9C84"/>
    <w:rsid w:val="79A33E6C"/>
    <w:rsid w:val="79C6BF8D"/>
    <w:rsid w:val="79E50305"/>
    <w:rsid w:val="7A24ECD2"/>
    <w:rsid w:val="7A560DB5"/>
    <w:rsid w:val="7A63CB4F"/>
    <w:rsid w:val="7A6CD8F1"/>
    <w:rsid w:val="7A7064D6"/>
    <w:rsid w:val="7AC7FC28"/>
    <w:rsid w:val="7AFF1DC8"/>
    <w:rsid w:val="7B7AC0EC"/>
    <w:rsid w:val="7BCA60EE"/>
    <w:rsid w:val="7BCC29C5"/>
    <w:rsid w:val="7C0C99B3"/>
    <w:rsid w:val="7C3960E3"/>
    <w:rsid w:val="7C4003E9"/>
    <w:rsid w:val="7C4A0132"/>
    <w:rsid w:val="7C72BA2B"/>
    <w:rsid w:val="7C9741F1"/>
    <w:rsid w:val="7CD82E55"/>
    <w:rsid w:val="7D0E964F"/>
    <w:rsid w:val="7D34A99C"/>
    <w:rsid w:val="7D99F006"/>
    <w:rsid w:val="7DC45198"/>
    <w:rsid w:val="7DED876C"/>
    <w:rsid w:val="7E282CF5"/>
    <w:rsid w:val="7E7C2010"/>
    <w:rsid w:val="7EAB81FF"/>
    <w:rsid w:val="7F0B880B"/>
    <w:rsid w:val="7F9FB60B"/>
    <w:rsid w:val="7FB83D43"/>
    <w:rsid w:val="7FD655C7"/>
    <w:rsid w:val="7FE803BD"/>
    <w:rsid w:val="7FFDA0C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F52375"/>
  <w15:chartTrackingRefBased/>
  <w15:docId w15:val="{71944863-1942-40F1-BDF9-FF036F321E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60B"/>
    <w:pPr>
      <w:suppressAutoHyphens/>
      <w:spacing w:after="200" w:line="276" w:lineRule="auto"/>
      <w:jc w:val="both"/>
    </w:pPr>
    <w:rPr>
      <w:rFonts w:ascii="Verdana" w:hAnsi="Verdana"/>
    </w:rPr>
  </w:style>
  <w:style w:type="paragraph" w:styleId="Heading1">
    <w:name w:val="heading 1"/>
    <w:basedOn w:val="Normal"/>
    <w:next w:val="Normal"/>
    <w:link w:val="Heading1Char"/>
    <w:uiPriority w:val="9"/>
    <w:qFormat/>
    <w:rsid w:val="00A6004B"/>
    <w:pPr>
      <w:keepNext/>
      <w:keepLines/>
      <w:numPr>
        <w:numId w:val="9"/>
      </w:numPr>
      <w:spacing w:before="240" w:after="0"/>
      <w:ind w:left="567" w:hanging="567"/>
      <w:outlineLvl w:val="0"/>
    </w:pPr>
    <w:rPr>
      <w:rFonts w:eastAsiaTheme="majorEastAsia" w:cstheme="majorBidi"/>
      <w:color w:val="FFC000"/>
      <w:sz w:val="32"/>
      <w:szCs w:val="32"/>
    </w:rPr>
  </w:style>
  <w:style w:type="paragraph" w:styleId="Heading2">
    <w:name w:val="heading 2"/>
    <w:basedOn w:val="Normal"/>
    <w:next w:val="Normal"/>
    <w:link w:val="Heading2Char"/>
    <w:uiPriority w:val="9"/>
    <w:unhideWhenUsed/>
    <w:qFormat/>
    <w:rsid w:val="002E6D61"/>
    <w:pPr>
      <w:keepNext/>
      <w:keepLines/>
      <w:numPr>
        <w:ilvl w:val="1"/>
        <w:numId w:val="9"/>
      </w:numPr>
      <w:spacing w:before="40" w:after="0"/>
      <w:outlineLvl w:val="1"/>
    </w:pPr>
    <w:rPr>
      <w:rFonts w:eastAsiaTheme="majorEastAsia" w:cstheme="majorBidi"/>
      <w:color w:val="2F5496" w:themeColor="accent1" w:themeShade="BF"/>
      <w:sz w:val="28"/>
      <w:szCs w:val="28"/>
    </w:rPr>
  </w:style>
  <w:style w:type="paragraph" w:styleId="Heading3">
    <w:name w:val="heading 3"/>
    <w:basedOn w:val="Normal"/>
    <w:next w:val="Normal"/>
    <w:link w:val="Heading3Char"/>
    <w:uiPriority w:val="9"/>
    <w:unhideWhenUsed/>
    <w:qFormat/>
    <w:rsid w:val="001A6B63"/>
    <w:pPr>
      <w:keepNext/>
      <w:keepLines/>
      <w:numPr>
        <w:ilvl w:val="2"/>
        <w:numId w:val="9"/>
      </w:numPr>
      <w:spacing w:before="40" w:after="0"/>
      <w:ind w:left="993" w:hanging="993"/>
      <w:outlineLvl w:val="2"/>
    </w:pPr>
    <w:rPr>
      <w:rFonts w:eastAsiaTheme="majorEastAsia" w:cstheme="majorBidi"/>
      <w:color w:val="767171" w:themeColor="background2" w:themeShade="80"/>
      <w:sz w:val="26"/>
      <w:szCs w:val="26"/>
    </w:rPr>
  </w:style>
  <w:style w:type="paragraph" w:styleId="Heading4">
    <w:name w:val="heading 4"/>
    <w:basedOn w:val="Normal"/>
    <w:next w:val="Normal"/>
    <w:link w:val="Heading4Char"/>
    <w:uiPriority w:val="9"/>
    <w:unhideWhenUsed/>
    <w:qFormat/>
    <w:rsid w:val="00243DD6"/>
    <w:pPr>
      <w:keepNext/>
      <w:keepLines/>
      <w:numPr>
        <w:ilvl w:val="3"/>
        <w:numId w:val="9"/>
      </w:numPr>
      <w:spacing w:before="40" w:after="0"/>
      <w:outlineLvl w:val="3"/>
    </w:pPr>
    <w:rPr>
      <w:rFonts w:eastAsiaTheme="majorEastAsia" w:cstheme="majorBidi"/>
      <w:i/>
      <w:iCs/>
      <w:color w:val="767171" w:themeColor="background2" w:themeShade="80"/>
      <w:sz w:val="26"/>
      <w:szCs w:val="26"/>
    </w:rPr>
  </w:style>
  <w:style w:type="paragraph" w:styleId="Heading5">
    <w:name w:val="heading 5"/>
    <w:basedOn w:val="Normal"/>
    <w:next w:val="Normal"/>
    <w:link w:val="Heading5Char"/>
    <w:uiPriority w:val="9"/>
    <w:semiHidden/>
    <w:unhideWhenUsed/>
    <w:qFormat/>
    <w:rsid w:val="001449AD"/>
    <w:pPr>
      <w:keepNext/>
      <w:keepLines/>
      <w:numPr>
        <w:ilvl w:val="4"/>
        <w:numId w:val="9"/>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449AD"/>
    <w:pPr>
      <w:keepNext/>
      <w:keepLines/>
      <w:numPr>
        <w:ilvl w:val="5"/>
        <w:numId w:val="9"/>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449AD"/>
    <w:pPr>
      <w:keepNext/>
      <w:keepLines/>
      <w:numPr>
        <w:ilvl w:val="6"/>
        <w:numId w:val="9"/>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449AD"/>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449AD"/>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83A2A"/>
    <w:rPr>
      <w:color w:val="0563C1" w:themeColor="hyperlink"/>
      <w:u w:val="single"/>
    </w:rPr>
  </w:style>
  <w:style w:type="paragraph" w:customStyle="1" w:styleId="paragraph">
    <w:name w:val="paragraph"/>
    <w:basedOn w:val="Normal"/>
    <w:rsid w:val="00F83A2A"/>
    <w:pPr>
      <w:suppressAutoHyphens w:val="0"/>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eop">
    <w:name w:val="eop"/>
    <w:basedOn w:val="DefaultParagraphFont"/>
    <w:rsid w:val="00F83A2A"/>
  </w:style>
  <w:style w:type="paragraph" w:styleId="ListParagraph">
    <w:name w:val="List Paragraph"/>
    <w:basedOn w:val="Normal"/>
    <w:uiPriority w:val="34"/>
    <w:qFormat/>
    <w:rsid w:val="008C4168"/>
    <w:pPr>
      <w:numPr>
        <w:numId w:val="10"/>
      </w:numPr>
      <w:contextualSpacing/>
    </w:pPr>
  </w:style>
  <w:style w:type="paragraph" w:styleId="NoSpacing">
    <w:name w:val="No Spacing"/>
    <w:uiPriority w:val="1"/>
    <w:qFormat/>
    <w:rsid w:val="00F83A2A"/>
    <w:pPr>
      <w:suppressAutoHyphens/>
      <w:spacing w:after="0" w:line="240" w:lineRule="auto"/>
    </w:pPr>
  </w:style>
  <w:style w:type="paragraph" w:styleId="Header">
    <w:name w:val="header"/>
    <w:basedOn w:val="Normal"/>
    <w:link w:val="HeaderChar"/>
    <w:uiPriority w:val="99"/>
    <w:unhideWhenUsed/>
    <w:rsid w:val="00F83A2A"/>
    <w:pPr>
      <w:tabs>
        <w:tab w:val="center" w:pos="4419"/>
        <w:tab w:val="right" w:pos="8838"/>
      </w:tabs>
      <w:spacing w:after="0" w:line="240" w:lineRule="auto"/>
    </w:pPr>
  </w:style>
  <w:style w:type="character" w:customStyle="1" w:styleId="HeaderChar">
    <w:name w:val="Header Char"/>
    <w:basedOn w:val="DefaultParagraphFont"/>
    <w:link w:val="Header"/>
    <w:uiPriority w:val="99"/>
    <w:rsid w:val="00F83A2A"/>
  </w:style>
  <w:style w:type="paragraph" w:styleId="Footer">
    <w:name w:val="footer"/>
    <w:basedOn w:val="Normal"/>
    <w:link w:val="FooterChar"/>
    <w:uiPriority w:val="99"/>
    <w:unhideWhenUsed/>
    <w:rsid w:val="00F83A2A"/>
    <w:pPr>
      <w:tabs>
        <w:tab w:val="center" w:pos="4419"/>
        <w:tab w:val="right" w:pos="8838"/>
      </w:tabs>
      <w:spacing w:after="0" w:line="240" w:lineRule="auto"/>
    </w:pPr>
  </w:style>
  <w:style w:type="character" w:customStyle="1" w:styleId="FooterChar">
    <w:name w:val="Footer Char"/>
    <w:basedOn w:val="DefaultParagraphFont"/>
    <w:link w:val="Footer"/>
    <w:uiPriority w:val="99"/>
    <w:rsid w:val="00F83A2A"/>
  </w:style>
  <w:style w:type="table" w:styleId="TableGrid">
    <w:name w:val="Table Grid"/>
    <w:basedOn w:val="TableNormal"/>
    <w:uiPriority w:val="39"/>
    <w:rsid w:val="00B57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30F57"/>
    <w:pPr>
      <w:suppressAutoHyphens w:val="0"/>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apple-converted-space">
    <w:name w:val="apple-converted-space"/>
    <w:basedOn w:val="DefaultParagraphFont"/>
    <w:rsid w:val="00030F57"/>
  </w:style>
  <w:style w:type="character" w:styleId="Strong">
    <w:name w:val="Strong"/>
    <w:basedOn w:val="DefaultParagraphFont"/>
    <w:uiPriority w:val="22"/>
    <w:qFormat/>
    <w:rsid w:val="00030F57"/>
    <w:rPr>
      <w:b/>
      <w:bCs/>
    </w:rPr>
  </w:style>
  <w:style w:type="character" w:styleId="UnresolvedMention">
    <w:name w:val="Unresolved Mention"/>
    <w:basedOn w:val="DefaultParagraphFont"/>
    <w:uiPriority w:val="99"/>
    <w:semiHidden/>
    <w:unhideWhenUsed/>
    <w:rsid w:val="004A3725"/>
    <w:rPr>
      <w:color w:val="605E5C"/>
      <w:shd w:val="clear" w:color="auto" w:fill="E1DFDD"/>
    </w:rPr>
  </w:style>
  <w:style w:type="character" w:styleId="FollowedHyperlink">
    <w:name w:val="FollowedHyperlink"/>
    <w:basedOn w:val="DefaultParagraphFont"/>
    <w:uiPriority w:val="99"/>
    <w:semiHidden/>
    <w:unhideWhenUsed/>
    <w:rsid w:val="00C433A1"/>
    <w:rPr>
      <w:color w:val="954F72" w:themeColor="followedHyperlink"/>
      <w:u w:val="single"/>
    </w:rPr>
  </w:style>
  <w:style w:type="character" w:customStyle="1" w:styleId="normaltextrun">
    <w:name w:val="normaltextrun"/>
    <w:basedOn w:val="DefaultParagraphFont"/>
    <w:rsid w:val="00897FF6"/>
  </w:style>
  <w:style w:type="character" w:customStyle="1" w:styleId="Heading1Char">
    <w:name w:val="Heading 1 Char"/>
    <w:basedOn w:val="DefaultParagraphFont"/>
    <w:link w:val="Heading1"/>
    <w:uiPriority w:val="9"/>
    <w:rsid w:val="00A6004B"/>
    <w:rPr>
      <w:rFonts w:ascii="Verdana" w:eastAsiaTheme="majorEastAsia" w:hAnsi="Verdana" w:cstheme="majorBidi"/>
      <w:color w:val="FFC000"/>
      <w:sz w:val="32"/>
      <w:szCs w:val="32"/>
    </w:rPr>
  </w:style>
  <w:style w:type="character" w:customStyle="1" w:styleId="Heading2Char">
    <w:name w:val="Heading 2 Char"/>
    <w:basedOn w:val="DefaultParagraphFont"/>
    <w:link w:val="Heading2"/>
    <w:uiPriority w:val="9"/>
    <w:rsid w:val="002E6D61"/>
    <w:rPr>
      <w:rFonts w:ascii="Verdana" w:eastAsiaTheme="majorEastAsia" w:hAnsi="Verdana" w:cstheme="majorBidi"/>
      <w:color w:val="2F5496" w:themeColor="accent1" w:themeShade="BF"/>
      <w:sz w:val="28"/>
      <w:szCs w:val="28"/>
    </w:rPr>
  </w:style>
  <w:style w:type="character" w:customStyle="1" w:styleId="Heading3Char">
    <w:name w:val="Heading 3 Char"/>
    <w:basedOn w:val="DefaultParagraphFont"/>
    <w:link w:val="Heading3"/>
    <w:uiPriority w:val="9"/>
    <w:rsid w:val="001A6B63"/>
    <w:rPr>
      <w:rFonts w:ascii="Verdana" w:eastAsiaTheme="majorEastAsia" w:hAnsi="Verdana" w:cstheme="majorBidi"/>
      <w:color w:val="767171" w:themeColor="background2" w:themeShade="80"/>
      <w:sz w:val="26"/>
      <w:szCs w:val="26"/>
    </w:rPr>
  </w:style>
  <w:style w:type="character" w:customStyle="1" w:styleId="Heading4Char">
    <w:name w:val="Heading 4 Char"/>
    <w:basedOn w:val="DefaultParagraphFont"/>
    <w:link w:val="Heading4"/>
    <w:uiPriority w:val="9"/>
    <w:rsid w:val="00243DD6"/>
    <w:rPr>
      <w:rFonts w:ascii="Verdana" w:eastAsiaTheme="majorEastAsia" w:hAnsi="Verdana" w:cstheme="majorBidi"/>
      <w:i/>
      <w:iCs/>
      <w:color w:val="767171" w:themeColor="background2" w:themeShade="80"/>
      <w:sz w:val="26"/>
      <w:szCs w:val="26"/>
    </w:rPr>
  </w:style>
  <w:style w:type="character" w:customStyle="1" w:styleId="Heading5Char">
    <w:name w:val="Heading 5 Char"/>
    <w:basedOn w:val="DefaultParagraphFont"/>
    <w:link w:val="Heading5"/>
    <w:uiPriority w:val="9"/>
    <w:semiHidden/>
    <w:rsid w:val="001449A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449A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449A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449A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449AD"/>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unhideWhenUsed/>
    <w:qFormat/>
    <w:rsid w:val="009768D3"/>
    <w:pPr>
      <w:keepNext/>
      <w:spacing w:line="240" w:lineRule="auto"/>
      <w:jc w:val="center"/>
    </w:pPr>
    <w:rPr>
      <w:b/>
      <w:bCs/>
      <w:i/>
      <w:iCs/>
      <w:color w:val="44546A" w:themeColor="text2"/>
      <w:sz w:val="18"/>
      <w:szCs w:val="18"/>
    </w:rPr>
  </w:style>
  <w:style w:type="paragraph" w:customStyle="1" w:styleId="Fuente">
    <w:name w:val="Fuente"/>
    <w:basedOn w:val="Normal"/>
    <w:link w:val="FuenteCar"/>
    <w:qFormat/>
    <w:rsid w:val="00EA317A"/>
    <w:pPr>
      <w:spacing w:line="240" w:lineRule="auto"/>
      <w:jc w:val="center"/>
    </w:pPr>
    <w:rPr>
      <w:sz w:val="18"/>
    </w:rPr>
  </w:style>
  <w:style w:type="character" w:customStyle="1" w:styleId="FuenteCar">
    <w:name w:val="Fuente Car"/>
    <w:basedOn w:val="DefaultParagraphFont"/>
    <w:link w:val="Fuente"/>
    <w:rsid w:val="00EA317A"/>
    <w:rPr>
      <w:rFonts w:ascii="Verdana" w:hAnsi="Verdana"/>
      <w:sz w:val="1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Verdana" w:hAnsi="Verdana"/>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A477A"/>
    <w:rPr>
      <w:b/>
      <w:bCs/>
    </w:rPr>
  </w:style>
  <w:style w:type="character" w:customStyle="1" w:styleId="CommentSubjectChar">
    <w:name w:val="Comment Subject Char"/>
    <w:basedOn w:val="CommentTextChar"/>
    <w:link w:val="CommentSubject"/>
    <w:uiPriority w:val="99"/>
    <w:semiHidden/>
    <w:rsid w:val="001A477A"/>
    <w:rPr>
      <w:rFonts w:ascii="Verdana" w:hAnsi="Verdan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9429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inenergiacol-my.sharepoint.com/:f:/g/personal/iforozco_minenergia_gov_co/IgAFA7B8xC10T6PnYuGlz-5UAXbBmQdfFGe4cpg1s3mAPkU?e=PCwNRm" TargetMode="External"/><Relationship Id="rId18" Type="http://schemas.openxmlformats.org/officeDocument/2006/relationships/hyperlink" Target="https://minenergiacol-my.sharepoint.com/:x:/r/personal/acmora_minenergia_gov_co/_layouts/15/Doc.aspx?sourcedoc=%7BD0144C60-1DC6-4C39-AF6C-A242AD5F89DF%7D&amp;file=Book.xlsx&amp;action=editnew&amp;mobileredirect=true" TargetMode="External"/><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chart" Target="charts/chart1.xml"/><Relationship Id="rId17" Type="http://schemas.microsoft.com/office/2018/08/relationships/commentsExtensible" Target="commentsExtensible.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footer" Target="footer2.xml"/><Relationship Id="rId27" Type="http://schemas.microsoft.com/office/2020/10/relationships/intelligence" Target="intelligence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Hoja1!$B$1</c:f>
              <c:strCache>
                <c:ptCount val="1"/>
                <c:pt idx="0">
                  <c:v>NOMBRE DE LA TABLA</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7139-497E-BA97-2EA419E6282D}"/>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7139-497E-BA97-2EA419E6282D}"/>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7139-497E-BA97-2EA419E6282D}"/>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7139-497E-BA97-2EA419E6282D}"/>
              </c:ext>
            </c:extLst>
          </c:dPt>
          <c:dLbls>
            <c:dLbl>
              <c:idx val="2"/>
              <c:layout>
                <c:manualLayout>
                  <c:x val="-1.3816866710161888E-2"/>
                  <c:y val="1.3279461080498146E-2"/>
                </c:manualLayout>
              </c:layout>
              <c:dLblPos val="bestFit"/>
              <c:showLegendKey val="0"/>
              <c:showVal val="1"/>
              <c:showCatName val="0"/>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7139-497E-BA97-2EA419E6282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dLblPos val="bestFit"/>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4"/>
                <c:pt idx="0">
                  <c:v>Dato 1</c:v>
                </c:pt>
                <c:pt idx="1">
                  <c:v>Dato 2</c:v>
                </c:pt>
                <c:pt idx="2">
                  <c:v>Dato 3</c:v>
                </c:pt>
                <c:pt idx="3">
                  <c:v>Dato 4</c:v>
                </c:pt>
              </c:strCache>
            </c:strRef>
          </c:cat>
          <c:val>
            <c:numRef>
              <c:f>Hoja1!$B$2:$B$5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0-3BD8-45F2-95CC-7306BB3DE36D}"/>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868F9790-E1B1-4307-AA38-16397A40E87E}">
    <t:Anchor>
      <t:Comment id="236194384"/>
    </t:Anchor>
    <t:History>
      <t:Event id="{4C00EBF0-4E45-4DD2-9D33-85084E4D0398}" time="2026-04-30T19:25:50.338Z">
        <t:Attribution userId="S::dfurbano@minenergia.gov.co::0f2ffe40-d56a-43ae-9e44-593bfc99d9f8" userProvider="AD" userName="DIEGO FERNANDO URBANO CHAVES"/>
        <t:Anchor>
          <t:Comment id="236194384"/>
        </t:Anchor>
        <t:Create/>
      </t:Event>
      <t:Event id="{54370B28-3B0B-4DE6-A7D6-1234644712AD}" time="2026-04-30T19:25:50.338Z">
        <t:Attribution userId="S::dfurbano@minenergia.gov.co::0f2ffe40-d56a-43ae-9e44-593bfc99d9f8" userProvider="AD" userName="DIEGO FERNANDO URBANO CHAVES"/>
        <t:Anchor>
          <t:Comment id="236194384"/>
        </t:Anchor>
        <t:Assign userId="S::gavallejo@minenergia.gov.co::6dcec995-582c-4f36-bde2-c611546c77f2" userProvider="AD" userName="GUILLERMO ALBERTO VALLEJO MESA"/>
      </t:Event>
      <t:Event id="{406224F3-7038-4F25-9B1E-7276980E28A4}" time="2026-04-30T19:25:50.338Z">
        <t:Attribution userId="S::dfurbano@minenergia.gov.co::0f2ffe40-d56a-43ae-9e44-593bfc99d9f8" userProvider="AD" userName="DIEGO FERNANDO URBANO CHAVES"/>
        <t:Anchor>
          <t:Comment id="236194384"/>
        </t:Anchor>
        <t:SetTitle title="@GUILLERMO ALBERTO VALLEJO MESA Aquí se debe registrar el avance en los temas de gobierno de datos teniendo en cuenta lo que se registró previamente en el documento que está ya transcrito."/>
      </t:Event>
      <t:Event id="{3A3FED93-450C-47DB-9346-29AD0E3F3ADF}" time="2026-05-08T14:50:11.785Z">
        <t:Attribution userId="S::dfurbano@minenergia.gov.co::0f2ffe40-d56a-43ae-9e44-593bfc99d9f8" userProvider="AD" userName="DIEGO FERNANDO URBANO CHAVES"/>
        <t:Progress percentComplete="100"/>
      </t:Event>
    </t:History>
  </t:Task>
  <t:Task id="{6CF1DB94-EB85-4BFB-8339-6DD13B4756A6}">
    <t:Anchor>
      <t:Comment id="854683050"/>
    </t:Anchor>
    <t:History>
      <t:Event id="{A358E980-8AF2-4833-B4DD-80F482AC9CE4}" time="2026-04-29T21:35:13.154Z">
        <t:Attribution userId="S::dfurbano@minenergia.gov.co::0f2ffe40-d56a-43ae-9e44-593bfc99d9f8" userProvider="AD" userName="DIEGO FERNANDO URBANO CHAVES"/>
        <t:Anchor>
          <t:Comment id="854683050"/>
        </t:Anchor>
        <t:Create/>
      </t:Event>
      <t:Event id="{6BAE6762-F87F-4450-AD20-89A28187FBDB}" time="2026-04-29T21:35:13.154Z">
        <t:Attribution userId="S::dfurbano@minenergia.gov.co::0f2ffe40-d56a-43ae-9e44-593bfc99d9f8" userProvider="AD" userName="DIEGO FERNANDO URBANO CHAVES"/>
        <t:Anchor>
          <t:Comment id="854683050"/>
        </t:Anchor>
        <t:Assign userId="S::camoreno@minenergia.gov.co::4bbc2115-3d0a-41f8-ada0-766fdacb1219" userProvider="AD" userName="CAMILO ANDRES MORENO CHAPARRO"/>
      </t:Event>
      <t:Event id="{0BC9693B-2047-4B75-B85D-73175C66BBD4}" time="2026-04-29T21:35:13.154Z">
        <t:Attribution userId="S::dfurbano@minenergia.gov.co::0f2ffe40-d56a-43ae-9e44-593bfc99d9f8" userProvider="AD" userName="DIEGO FERNANDO URBANO CHAVES"/>
        <t:Anchor>
          <t:Comment id="854683050"/>
        </t:Anchor>
        <t:SetTitle title="@CAMILO ANDRES MORENO CHAPARRO"/>
      </t:Event>
      <t:Event id="{D0FE3ECE-C319-46B0-B289-E87CC332038E}" time="2026-05-07T15:24:36.334Z">
        <t:Attribution userId="S::dfurbano@minenergia.gov.co::0f2ffe40-d56a-43ae-9e44-593bfc99d9f8" userProvider="AD" userName="DIEGO FERNANDO URBANO CHAVES"/>
        <t:Progress percentComplete="100"/>
      </t:Event>
    </t:History>
  </t:Task>
  <t:Task id="{58914D6C-4859-47E8-9DE6-0C91044AF605}">
    <t:Anchor>
      <t:Comment id="1481219866"/>
    </t:Anchor>
    <t:History>
      <t:Event id="{60BD7B83-3634-4F33-9E07-E6C4F5EA98F7}" time="2026-04-27T20:17:49.363Z">
        <t:Attribution userId="S::vymonroy@minenergia.gov.co::79c26054-8b05-4787-8d15-4092f21a0eb5" userProvider="AD" userName="VIVIANA YILENA MONROY PRECIADO"/>
        <t:Anchor>
          <t:Comment id="1481219866"/>
        </t:Anchor>
        <t:Create/>
      </t:Event>
      <t:Event id="{11969AB0-EF43-43F6-9757-24BFD1735DE3}" time="2026-04-27T20:17:49.363Z">
        <t:Attribution userId="S::vymonroy@minenergia.gov.co::79c26054-8b05-4787-8d15-4092f21a0eb5" userProvider="AD" userName="VIVIANA YILENA MONROY PRECIADO"/>
        <t:Anchor>
          <t:Comment id="1481219866"/>
        </t:Anchor>
        <t:Assign userId="S::dpenaranda@minenergia.gov.co::0b134900-d3af-4ea2-9c6b-a7ebd4cc9532" userProvider="AD" userName="DANILO PEÑARANDA CASTILLA"/>
      </t:Event>
      <t:Event id="{46B9989B-4B43-45A9-89B5-EB04CB7F2C1F}" time="2026-04-27T20:17:49.363Z">
        <t:Attribution userId="S::vymonroy@minenergia.gov.co::79c26054-8b05-4787-8d15-4092f21a0eb5" userProvider="AD" userName="VIVIANA YILENA MONROY PRECIADO"/>
        <t:Anchor>
          <t:Comment id="1481219866"/>
        </t:Anchor>
        <t:SetTitle title="@JHON FAUSTINO CHAPARRO SIERRA @DANILO PEÑARANDA CASTILLA @EDEL JOSE AMAYA PEREZ"/>
      </t:Event>
    </t:History>
  </t:Task>
  <t:Task id="{9BF983AA-3DAE-4834-A7CE-BADA3FB119F9}">
    <t:Anchor>
      <t:Comment id="1449205322"/>
    </t:Anchor>
    <t:History>
      <t:Event id="{B0ED9BFB-03A2-44ED-B210-4E320B44C696}" time="2026-04-27T20:19:34.948Z">
        <t:Attribution userId="S::vymonroy@minenergia.gov.co::79c26054-8b05-4787-8d15-4092f21a0eb5" userProvider="AD" userName="VIVIANA YILENA MONROY PRECIADO"/>
        <t:Anchor>
          <t:Comment id="1449205322"/>
        </t:Anchor>
        <t:Create/>
      </t:Event>
      <t:Event id="{7E24A5EE-9C8A-4D3F-A2A8-18E2B3BDB11D}" time="2026-04-27T20:19:34.948Z">
        <t:Attribution userId="S::vymonroy@minenergia.gov.co::79c26054-8b05-4787-8d15-4092f21a0eb5" userProvider="AD" userName="VIVIANA YILENA MONROY PRECIADO"/>
        <t:Anchor>
          <t:Comment id="1449205322"/>
        </t:Anchor>
        <t:Assign userId="S::dfurbano@minenergia.gov.co::0f2ffe40-d56a-43ae-9e44-593bfc99d9f8" userProvider="AD" userName="DIEGO FERNANDO URBANO CHAVES"/>
      </t:Event>
      <t:Event id="{E7CB47C2-C0CA-4931-BB73-D87959D09F40}" time="2026-04-27T20:19:34.948Z">
        <t:Attribution userId="S::vymonroy@minenergia.gov.co::79c26054-8b05-4787-8d15-4092f21a0eb5" userProvider="AD" userName="VIVIANA YILENA MONROY PRECIADO"/>
        <t:Anchor>
          <t:Comment id="1449205322"/>
        </t:Anchor>
        <t:SetTitle title="@DIEGO FERNANDO URBANO CHAVES"/>
      </t:Event>
    </t:History>
  </t:Task>
  <t:Task id="{301A5475-D821-46B8-A5E9-265413BFF6AA}">
    <t:Anchor>
      <t:Comment id="904623827"/>
    </t:Anchor>
    <t:History>
      <t:Event id="{6CE1BA39-6F23-460F-86C7-02A2916C0093}" time="2026-04-27T20:18:21.055Z">
        <t:Attribution userId="S::vymonroy@minenergia.gov.co::79c26054-8b05-4787-8d15-4092f21a0eb5" userProvider="AD" userName="VIVIANA YILENA MONROY PRECIADO"/>
        <t:Anchor>
          <t:Comment id="904623827"/>
        </t:Anchor>
        <t:Create/>
      </t:Event>
      <t:Event id="{6274EF3A-6644-4671-B109-28F77DFDEEDA}" time="2026-04-27T20:18:21.055Z">
        <t:Attribution userId="S::vymonroy@minenergia.gov.co::79c26054-8b05-4787-8d15-4092f21a0eb5" userProvider="AD" userName="VIVIANA YILENA MONROY PRECIADO"/>
        <t:Anchor>
          <t:Comment id="904623827"/>
        </t:Anchor>
        <t:Assign userId="S::oframirez@minenergia.gov.co::bda2b80c-e133-40fb-bafd-29681837cc0f" userProvider="AD" userName="OSCAR FABIAN RAMIREZ TORRES"/>
      </t:Event>
      <t:Event id="{A1D042CB-A0BE-4269-A509-0280F68297D7}" time="2026-04-27T20:18:21.055Z">
        <t:Attribution userId="S::vymonroy@minenergia.gov.co::79c26054-8b05-4787-8d15-4092f21a0eb5" userProvider="AD" userName="VIVIANA YILENA MONROY PRECIADO"/>
        <t:Anchor>
          <t:Comment id="904623827"/>
        </t:Anchor>
        <t:SetTitle title="@OSCAR FABIAN RAMIREZ TORRES @OSCAR SANCHEZ SANCHEZ"/>
      </t:Event>
    </t:History>
  </t:Task>
  <t:Task id="{4A89E28C-278F-4E65-8C69-2087612470AE}">
    <t:Anchor>
      <t:Comment id="1308947421"/>
    </t:Anchor>
    <t:History>
      <t:Event id="{25B7C909-1A87-437B-844E-E13E781F8FC5}" time="2026-04-29T21:36:47.403Z">
        <t:Attribution userId="S::dfurbano@minenergia.gov.co::0f2ffe40-d56a-43ae-9e44-593bfc99d9f8" userProvider="AD" userName="DIEGO FERNANDO URBANO CHAVES"/>
        <t:Anchor>
          <t:Comment id="1308947421"/>
        </t:Anchor>
        <t:Create/>
      </t:Event>
      <t:Event id="{2274F919-3F19-4737-A69D-150DA71B4121}" time="2026-04-29T21:36:47.403Z">
        <t:Attribution userId="S::dfurbano@minenergia.gov.co::0f2ffe40-d56a-43ae-9e44-593bfc99d9f8" userProvider="AD" userName="DIEGO FERNANDO URBANO CHAVES"/>
        <t:Anchor>
          <t:Comment id="1308947421"/>
        </t:Anchor>
        <t:Assign userId="S::jctribin@minenergia.gov.co::25279549-899e-4960-a3e9-6de0f47ca761" userProvider="AD" userName="JUAN CARLOS TRIBIN PEREA"/>
      </t:Event>
      <t:Event id="{330CBF1F-EFE9-45EE-BDCA-AD24A0220244}" time="2026-04-29T21:36:47.403Z">
        <t:Attribution userId="S::dfurbano@minenergia.gov.co::0f2ffe40-d56a-43ae-9e44-593bfc99d9f8" userProvider="AD" userName="DIEGO FERNANDO URBANO CHAVES"/>
        <t:Anchor>
          <t:Comment id="1308947421"/>
        </t:Anchor>
        <t:SetTitle title="@JUAN CARLOS TRIBIN PEREA"/>
      </t:Event>
    </t:History>
  </t:Task>
  <t:Task id="{7EEC2636-0232-445B-B1DE-727A793A6EEB}">
    <t:Anchor>
      <t:Comment id="1782960801"/>
    </t:Anchor>
    <t:History>
      <t:Event id="{8259A89E-4125-41EB-89F4-8B0D6FBEF1BD}" time="2026-05-07T16:22:44.203Z">
        <t:Attribution userId="S::vymonroy@minenergia.gov.co::79c26054-8b05-4787-8d15-4092f21a0eb5" userProvider="AD" userName="VIVIANA YILENA MONROY PRECIADO"/>
        <t:Anchor>
          <t:Comment id="1782960801"/>
        </t:Anchor>
        <t:Create/>
      </t:Event>
      <t:Event id="{45E3F7B7-5858-459F-9124-D03F21921433}" time="2026-05-07T16:22:44.203Z">
        <t:Attribution userId="S::vymonroy@minenergia.gov.co::79c26054-8b05-4787-8d15-4092f21a0eb5" userProvider="AD" userName="VIVIANA YILENA MONROY PRECIADO"/>
        <t:Anchor>
          <t:Comment id="1782960801"/>
        </t:Anchor>
        <t:Assign userId="S::camoreno@minenergia.gov.co::4bbc2115-3d0a-41f8-ada0-766fdacb1219" userProvider="AD" userName="CAMILO ANDRES MORENO CHAPARRO"/>
      </t:Event>
      <t:Event id="{3C0B65E5-6E09-4765-8917-45DED047E055}" time="2026-05-07T16:22:44.203Z">
        <t:Attribution userId="S::vymonroy@minenergia.gov.co::79c26054-8b05-4787-8d15-4092f21a0eb5" userProvider="AD" userName="VIVIANA YILENA MONROY PRECIADO"/>
        <t:Anchor>
          <t:Comment id="1782960801"/>
        </t:Anchor>
        <t:SetTitle title="@CAMILO ANDRES MORENO CHAPARRO esto no desvirtua lo que estamos haciendo diciendo que lo pensamos hacer?"/>
      </t:Event>
    </t:History>
  </t:Task>
  <t:Task id="{869D2464-506E-4DCE-9B21-6CF71123D6EC}">
    <t:Anchor>
      <t:Comment id="612170558"/>
    </t:Anchor>
    <t:History>
      <t:Event id="{C50C79AE-0050-472B-BE57-C0EA022FF451}" time="2026-04-29T21:35:00.049Z">
        <t:Attribution userId="S::dfurbano@minenergia.gov.co::0f2ffe40-d56a-43ae-9e44-593bfc99d9f8" userProvider="AD" userName="DIEGO FERNANDO URBANO CHAVES"/>
        <t:Anchor>
          <t:Comment id="612170558"/>
        </t:Anchor>
        <t:Create/>
      </t:Event>
      <t:Event id="{028C96EE-5CBC-4D55-A12D-1E36F47F444B}" time="2026-04-29T21:35:00.049Z">
        <t:Attribution userId="S::dfurbano@minenergia.gov.co::0f2ffe40-d56a-43ae-9e44-593bfc99d9f8" userProvider="AD" userName="DIEGO FERNANDO URBANO CHAVES"/>
        <t:Anchor>
          <t:Comment id="612170558"/>
        </t:Anchor>
        <t:Assign userId="S::cmmontenegro@minenergia.gov.co::b8fe8008-e8f9-4db1-a731-1ee65a3da9e9" userProvider="AD" userName="CARLOS MAURICIO MONTENEGRO HERNANDEZ"/>
      </t:Event>
      <t:Event id="{2A0CB957-E4D8-44AE-945A-BDB4B90DCB1D}" time="2026-04-29T21:35:00.049Z">
        <t:Attribution userId="S::dfurbano@minenergia.gov.co::0f2ffe40-d56a-43ae-9e44-593bfc99d9f8" userProvider="AD" userName="DIEGO FERNANDO URBANO CHAVES"/>
        <t:Anchor>
          <t:Comment id="612170558"/>
        </t:Anchor>
        <t:SetTitle title="@CARLOS MAURICIO MONTENEGRO HERNANDEZ"/>
      </t:Event>
      <t:Event id="{221F62AA-8E44-4292-837A-E5FD6E158039}" time="2026-05-07T15:24:25.149Z">
        <t:Attribution userId="S::dfurbano@minenergia.gov.co::0f2ffe40-d56a-43ae-9e44-593bfc99d9f8" userProvider="AD" userName="DIEGO FERNANDO URBANO CHAVES"/>
        <t:Progress percentComplete="100"/>
      </t:Event>
    </t:History>
  </t:Task>
  <t:Task id="{5C996B68-6F3C-4834-AE53-103F230A5819}">
    <t:Anchor>
      <t:Comment id="454897640"/>
    </t:Anchor>
    <t:History>
      <t:Event id="{75A75BE2-6BCA-4A1B-9525-87227700B585}" time="2026-04-30T19:26:33.825Z">
        <t:Attribution userId="S::dfurbano@minenergia.gov.co::0f2ffe40-d56a-43ae-9e44-593bfc99d9f8" userProvider="AD" userName="DIEGO FERNANDO URBANO CHAVES"/>
        <t:Anchor>
          <t:Comment id="454897640"/>
        </t:Anchor>
        <t:Create/>
      </t:Event>
      <t:Event id="{A99DC327-EBD1-4487-A07C-CB9891581586}" time="2026-04-30T19:26:33.825Z">
        <t:Attribution userId="S::dfurbano@minenergia.gov.co::0f2ffe40-d56a-43ae-9e44-593bfc99d9f8" userProvider="AD" userName="DIEGO FERNANDO URBANO CHAVES"/>
        <t:Anchor>
          <t:Comment id="454897640"/>
        </t:Anchor>
        <t:Assign userId="S::gavallejo@minenergia.gov.co::6dcec995-582c-4f36-bde2-c611546c77f2" userProvider="AD" userName="GUILLERMO ALBERTO VALLEJO MESA"/>
      </t:Event>
      <t:Event id="{5717CF18-325A-48A5-A13C-85E00535584C}" time="2026-04-30T19:26:33.825Z">
        <t:Attribution userId="S::dfurbano@minenergia.gov.co::0f2ffe40-d56a-43ae-9e44-593bfc99d9f8" userProvider="AD" userName="DIEGO FERNANDO URBANO CHAVES"/>
        <t:Anchor>
          <t:Comment id="454897640"/>
        </t:Anchor>
        <t:SetTitle title="@GUILLERMO ALBERTO VALLEJO MESA Aquí se debe registrar el avance en el centro de monitoreo teniendo en cuenta lo descrito previamente en el documento."/>
      </t:Event>
      <t:Event id="{5E3FA672-686D-48F4-AE1D-F1C97E5585C3}" time="2026-05-07T15:07:55.476Z">
        <t:Attribution userId="S::dfurbano@minenergia.gov.co::0f2ffe40-d56a-43ae-9e44-593bfc99d9f8" userProvider="AD" userName="DIEGO FERNANDO URBANO CHAVES"/>
        <t:Progress percentComplete="100"/>
      </t:Event>
    </t:History>
  </t:Task>
  <t:Task id="{59552FDC-A451-4794-A1D0-8ABF60A79EE5}">
    <t:Anchor>
      <t:Comment id="1034380577"/>
    </t:Anchor>
    <t:History>
      <t:Event id="{056F8005-6D6B-40E5-B28A-D953F359694B}" time="2026-05-06T22:33:32.61Z">
        <t:Attribution userId="S::dfurbano@minenergia.gov.co::0f2ffe40-d56a-43ae-9e44-593bfc99d9f8" userProvider="AD" userName="DIEGO FERNANDO URBANO CHAVES"/>
        <t:Anchor>
          <t:Comment id="1034380577"/>
        </t:Anchor>
        <t:Create/>
      </t:Event>
      <t:Event id="{0BA4EC42-0E3D-4E8C-89B0-D2609D0D04C0}" time="2026-05-06T22:33:32.61Z">
        <t:Attribution userId="S::dfurbano@minenergia.gov.co::0f2ffe40-d56a-43ae-9e44-593bfc99d9f8" userProvider="AD" userName="DIEGO FERNANDO URBANO CHAVES"/>
        <t:Anchor>
          <t:Comment id="1034380577"/>
        </t:Anchor>
        <t:Assign userId="S::jrcarvajal@minenergia.gov.co::510c48a7-da08-4963-ba2c-f37cdd3e680f" userProvider="AD" userName="JOAN RENE CARVAJAL RAMIREZ"/>
      </t:Event>
      <t:Event id="{A9A80E4A-9C07-486D-A528-DA413777A0EB}" time="2026-05-06T22:33:32.61Z">
        <t:Attribution userId="S::dfurbano@minenergia.gov.co::0f2ffe40-d56a-43ae-9e44-593bfc99d9f8" userProvider="AD" userName="DIEGO FERNANDO URBANO CHAVES"/>
        <t:Anchor>
          <t:Comment id="1034380577"/>
        </t:Anchor>
        <t:SetTitle title="@JOAN RENE CARVAJAL RAMIREZ Por favor puedes describir en forma de logros los temas del centro de monitoreo dado que en los años previos se planteaba como una iniciativa en desarrollo. La idea es que aquí se muestre el avance de lo implementado a Julio …"/>
      </t:Event>
      <t:Event id="{1CAB26D9-24F4-4F04-B50F-3056274829F8}" time="2026-05-07T15:20:14.144Z">
        <t:Attribution userId="S::dfurbano@minenergia.gov.co::0f2ffe40-d56a-43ae-9e44-593bfc99d9f8" userProvider="AD" userName="DIEGO FERNANDO URBANO CHAVES"/>
        <t:Progress percentComplete="100"/>
      </t:Event>
    </t:History>
  </t:Task>
  <t:Task id="{58D2CB37-0BE5-4CBE-B21D-DFDB5867BB32}">
    <t:Anchor>
      <t:Comment id="739375717"/>
    </t:Anchor>
    <t:History>
      <t:Event id="{A8FAF633-B68D-4705-A1C7-2E208555DD79}" time="2026-05-07T16:17:05.164Z">
        <t:Attribution userId="S::vymonroy@minenergia.gov.co::79c26054-8b05-4787-8d15-4092f21a0eb5" userProvider="AD" userName="VIVIANA YILENA MONROY PRECIADO"/>
        <t:Anchor>
          <t:Comment id="739375717"/>
        </t:Anchor>
        <t:Create/>
      </t:Event>
      <t:Event id="{D6731BC8-C820-4A78-AFF3-7916A0D08875}" time="2026-05-07T16:17:05.164Z">
        <t:Attribution userId="S::vymonroy@minenergia.gov.co::79c26054-8b05-4787-8d15-4092f21a0eb5" userProvider="AD" userName="VIVIANA YILENA MONROY PRECIADO"/>
        <t:Anchor>
          <t:Comment id="739375717"/>
        </t:Anchor>
        <t:Assign userId="S::dfurbano@minenergia.gov.co::0f2ffe40-d56a-43ae-9e44-593bfc99d9f8" userProvider="AD" userName="DIEGO FERNANDO URBANO CHAVES"/>
      </t:Event>
      <t:Event id="{08CFF9F8-DF55-47C2-86C0-3CFF20274767}" time="2026-05-07T16:17:05.164Z">
        <t:Attribution userId="S::vymonroy@minenergia.gov.co::79c26054-8b05-4787-8d15-4092f21a0eb5" userProvider="AD" userName="VIVIANA YILENA MONROY PRECIADO"/>
        <t:Anchor>
          <t:Comment id="739375717"/>
        </t:Anchor>
        <t:SetTitle title="@DIEGO FERNANDO URBANO CHAVES revisas esto que estaba en la mina del conocimiento por favor"/>
      </t:Event>
    </t:History>
  </t:Task>
  <t:Task id="{0BF82120-8CA9-48FA-8C21-1678E4B56B54}">
    <t:Anchor>
      <t:Comment id="317209580"/>
    </t:Anchor>
    <t:History>
      <t:Event id="{7D3FFB01-0439-41B4-A795-B9E581A1FD66}" time="2026-05-07T16:21:45.482Z">
        <t:Attribution userId="S::vymonroy@minenergia.gov.co::79c26054-8b05-4787-8d15-4092f21a0eb5" userProvider="AD" userName="VIVIANA YILENA MONROY PRECIADO"/>
        <t:Anchor>
          <t:Comment id="317209580"/>
        </t:Anchor>
        <t:Create/>
      </t:Event>
      <t:Event id="{F3E04F30-BE84-4F8C-B06E-2690672F4652}" time="2026-05-07T16:21:45.482Z">
        <t:Attribution userId="S::vymonroy@minenergia.gov.co::79c26054-8b05-4787-8d15-4092f21a0eb5" userProvider="AD" userName="VIVIANA YILENA MONROY PRECIADO"/>
        <t:Anchor>
          <t:Comment id="317209580"/>
        </t:Anchor>
        <t:Assign userId="S::dfurbano@minenergia.gov.co::0f2ffe40-d56a-43ae-9e44-593bfc99d9f8" userProvider="AD" userName="DIEGO FERNANDO URBANO CHAVES"/>
      </t:Event>
      <t:Event id="{26F27821-CCDC-4D7D-965E-5280AF57FE4C}" time="2026-05-07T16:21:45.482Z">
        <t:Attribution userId="S::vymonroy@minenergia.gov.co::79c26054-8b05-4787-8d15-4092f21a0eb5" userProvider="AD" userName="VIVIANA YILENA MONROY PRECIADO"/>
        <t:Anchor>
          <t:Comment id="317209580"/>
        </t:Anchor>
        <t:SetTitle title="@DIEGO FERNANDO URBANO CHAVES de esto podemos definir cu+al es estratégico y operativo y con eso lo dejamos en 15.1 y 15.2"/>
      </t:Event>
    </t:History>
  </t:Task>
  <t:Task id="{44F6449B-8F95-4FE1-81A8-713D49FDF9F0}">
    <t:Anchor>
      <t:Comment id="983659114"/>
    </t:Anchor>
    <t:History>
      <t:Event id="{E1ECCA2B-8E46-45B1-9769-855481BFC049}" time="2026-05-07T16:25:43.567Z">
        <t:Attribution userId="S::vymonroy@minenergia.gov.co::79c26054-8b05-4787-8d15-4092f21a0eb5" userProvider="AD" userName="VIVIANA YILENA MONROY PRECIADO"/>
        <t:Anchor>
          <t:Comment id="983659114"/>
        </t:Anchor>
        <t:Create/>
      </t:Event>
      <t:Event id="{FF87B7FE-F531-4167-87FA-11FD57FEC518}" time="2026-05-07T16:25:43.567Z">
        <t:Attribution userId="S::vymonroy@minenergia.gov.co::79c26054-8b05-4787-8d15-4092f21a0eb5" userProvider="AD" userName="VIVIANA YILENA MONROY PRECIADO"/>
        <t:Anchor>
          <t:Comment id="983659114"/>
        </t:Anchor>
        <t:Assign userId="S::cmmontenegro@minenergia.gov.co::b8fe8008-e8f9-4db1-a731-1ee65a3da9e9" userProvider="AD" userName="CARLOS MAURICIO MONTENEGRO HERNANDEZ"/>
      </t:Event>
      <t:Event id="{F15C5F15-33EC-4EC7-9B70-CD901C7EACAB}" time="2026-05-07T16:25:43.567Z">
        <t:Attribution userId="S::vymonroy@minenergia.gov.co::79c26054-8b05-4787-8d15-4092f21a0eb5" userProvider="AD" userName="VIVIANA YILENA MONROY PRECIADO"/>
        <t:Anchor>
          <t:Comment id="983659114"/>
        </t:Anchor>
        <t:SetTitle title="habla del eejercicio que lleva planeación de innovación por procesos parta ajustar el mapa @CARLOS MAURICIO MONTENEGRO HERNANDEZ aún no está aprobado"/>
      </t:Event>
    </t:History>
  </t:Task>
  <t:Task id="{50C1E8C5-EB65-4407-A544-D6AED2195EFF}">
    <t:Anchor>
      <t:Comment id="801972556"/>
    </t:Anchor>
    <t:History>
      <t:Event id="{8E9D5D5D-3E07-4AD6-BCCB-8BE141A64138}" time="2026-05-07T16:29:27.701Z">
        <t:Attribution userId="S::vymonroy@minenergia.gov.co::79c26054-8b05-4787-8d15-4092f21a0eb5" userProvider="AD" userName="VIVIANA YILENA MONROY PRECIADO"/>
        <t:Anchor>
          <t:Comment id="801972556"/>
        </t:Anchor>
        <t:Create/>
      </t:Event>
      <t:Event id="{FAA3043E-D8B2-4F75-B64E-3A49C121D427}" time="2026-05-07T16:29:27.701Z">
        <t:Attribution userId="S::vymonroy@minenergia.gov.co::79c26054-8b05-4787-8d15-4092f21a0eb5" userProvider="AD" userName="VIVIANA YILENA MONROY PRECIADO"/>
        <t:Anchor>
          <t:Comment id="801972556"/>
        </t:Anchor>
        <t:Assign userId="S::dfurbano@minenergia.gov.co::0f2ffe40-d56a-43ae-9e44-593bfc99d9f8" userProvider="AD" userName="DIEGO FERNANDO URBANO CHAVES"/>
      </t:Event>
      <t:Event id="{B25AD877-4C99-4D3C-BAD7-3662155068BF}" time="2026-05-07T16:29:27.701Z">
        <t:Attribution userId="S::vymonroy@minenergia.gov.co::79c26054-8b05-4787-8d15-4092f21a0eb5" userProvider="AD" userName="VIVIANA YILENA MONROY PRECIADO"/>
        <t:Anchor>
          <t:Comment id="801972556"/>
        </t:Anchor>
        <t:SetTitle title="@DIEGO FERNANDO URBANO CHAVES si hablamos por periodos por qué hay partes que dicen vigencia 2025 y vigencia 2026"/>
      </t:Event>
    </t:History>
  </t:Task>
  <t:Task id="{8B71A746-84AF-47EB-AD1D-C11AC541C330}">
    <t:Anchor>
      <t:Comment id="1584664680"/>
    </t:Anchor>
    <t:History>
      <t:Event id="{63DF9917-EBF9-4606-9ABB-1D5BD31F8C8D}" time="2026-05-07T16:30:46.343Z">
        <t:Attribution userId="S::vymonroy@minenergia.gov.co::79c26054-8b05-4787-8d15-4092f21a0eb5" userProvider="AD" userName="VIVIANA YILENA MONROY PRECIADO"/>
        <t:Anchor>
          <t:Comment id="1584664680"/>
        </t:Anchor>
        <t:Create/>
      </t:Event>
      <t:Event id="{FED1FE5A-45D6-4042-8C15-DB54A27EE6E8}" time="2026-05-07T16:30:46.343Z">
        <t:Attribution userId="S::vymonroy@minenergia.gov.co::79c26054-8b05-4787-8d15-4092f21a0eb5" userProvider="AD" userName="VIVIANA YILENA MONROY PRECIADO"/>
        <t:Anchor>
          <t:Comment id="1584664680"/>
        </t:Anchor>
        <t:Assign userId="S::jfchaparro@minenergia.gov.co::1accc12b-276f-4597-87e7-408ad7a0146a" userProvider="AD" userName="JHON FAUSTINO CHAPARRO SIERRA"/>
      </t:Event>
      <t:Event id="{6C71FF01-963F-4E2C-8BDA-271383A9C29B}" time="2026-05-07T16:30:46.343Z">
        <t:Attribution userId="S::vymonroy@minenergia.gov.co::79c26054-8b05-4787-8d15-4092f21a0eb5" userProvider="AD" userName="VIVIANA YILENA MONROY PRECIADO"/>
        <t:Anchor>
          <t:Comment id="1584664680"/>
        </t:Anchor>
        <t:SetTitle title="@JHON FAUSTINO CHAPARRO SIERRA @EDEL JOSE AMAYA PEREZ se validó esta información actualizada para el 2026"/>
      </t:Event>
      <t:Event id="{5C2BF530-0765-427A-97F6-A515C1D08F37}" time="2026-05-07T16:38:45.652Z">
        <t:Attribution userId="S::vymonroy@minenergia.gov.co::79c26054-8b05-4787-8d15-4092f21a0eb5" userProvider="AD" userName="VIVIANA YILENA MONROY PRECIADO"/>
        <t:Anchor>
          <t:Comment id="1639241128"/>
        </t:Anchor>
        <t:UnassignAll/>
      </t:Event>
      <t:Event id="{88C272B6-9E95-494D-89D8-A8B796CD06C8}" time="2026-05-07T16:38:45.652Z">
        <t:Attribution userId="S::vymonroy@minenergia.gov.co::79c26054-8b05-4787-8d15-4092f21a0eb5" userProvider="AD" userName="VIVIANA YILENA MONROY PRECIADO"/>
        <t:Anchor>
          <t:Comment id="1639241128"/>
        </t:Anchor>
        <t:Assign userId="S::dfurbano@minenergia.gov.co::0f2ffe40-d56a-43ae-9e44-593bfc99d9f8" userProvider="AD" userName="DIEGO FERNANDO URBANO CHAVES"/>
      </t:Event>
    </t:History>
  </t:Task>
  <t:Task id="{7A07E30B-504C-40A9-9730-768A1C55A37D}">
    <t:Anchor>
      <t:Comment id="2443108"/>
    </t:Anchor>
    <t:History>
      <t:Event id="{B7A5D765-0314-49B8-BAFB-5AA04BF235D4}" time="2026-05-07T16:29:27.701Z">
        <t:Attribution userId="S::vymonroy@minenergia.gov.co::79c26054-8b05-4787-8d15-4092f21a0eb5" userProvider="AD" userName="VIVIANA YILENA MONROY PRECIADO"/>
        <t:Anchor>
          <t:Comment id="2443108"/>
        </t:Anchor>
        <t:Create/>
      </t:Event>
      <t:Event id="{6C537A1A-29AC-4E60-BE76-EBE9946CDF1C}" time="2026-05-07T16:29:27.701Z">
        <t:Attribution userId="S::vymonroy@minenergia.gov.co::79c26054-8b05-4787-8d15-4092f21a0eb5" userProvider="AD" userName="VIVIANA YILENA MONROY PRECIADO"/>
        <t:Anchor>
          <t:Comment id="2443108"/>
        </t:Anchor>
        <t:Assign userId="S::dfurbano@minenergia.gov.co::0f2ffe40-d56a-43ae-9e44-593bfc99d9f8" userProvider="AD" userName="DIEGO FERNANDO URBANO CHAVES"/>
      </t:Event>
      <t:Event id="{5662A135-D197-45DE-873C-DB91A8222242}" time="2026-05-07T16:29:27.701Z">
        <t:Attribution userId="S::vymonroy@minenergia.gov.co::79c26054-8b05-4787-8d15-4092f21a0eb5" userProvider="AD" userName="VIVIANA YILENA MONROY PRECIADO"/>
        <t:Anchor>
          <t:Comment id="2443108"/>
        </t:Anchor>
        <t:SetTitle title="@DIEGO FERNANDO URBANO CHAVES si hablamos por periodos por qué hay partes que dicen vigencia 2025 y vigencia 2026"/>
      </t:Event>
    </t:History>
  </t:Task>
  <t:Task id="{1A3B4872-99FD-4C1F-B6BF-EAA6C651423B}">
    <t:Anchor>
      <t:Comment id="1777230199"/>
    </t:Anchor>
    <t:History>
      <t:Event id="{1D2CE9F5-9CE7-4D30-8C56-84031E87683C}" time="2026-05-08T14:53:31.676Z">
        <t:Attribution userId="S::dfurbano@minenergia.gov.co::0f2ffe40-d56a-43ae-9e44-593bfc99d9f8" userProvider="AD" userName="DIEGO FERNANDO URBANO CHAVES"/>
        <t:Anchor>
          <t:Comment id="1777230199"/>
        </t:Anchor>
        <t:Create/>
      </t:Event>
      <t:Event id="{B71B1865-6E98-4432-86E0-5A234CC90B98}" time="2026-05-08T14:53:31.676Z">
        <t:Attribution userId="S::dfurbano@minenergia.gov.co::0f2ffe40-d56a-43ae-9e44-593bfc99d9f8" userProvider="AD" userName="DIEGO FERNANDO URBANO CHAVES"/>
        <t:Anchor>
          <t:Comment id="1777230199"/>
        </t:Anchor>
        <t:Assign userId="S::jelozano@minenergia.gov.co::435ebf95-8ac6-490a-8372-13214aec332a" userProvider="AD" userName="JORGE ELIECER LOZANO OSPINA"/>
      </t:Event>
      <t:Event id="{059064FC-3DF9-45D2-8A00-6055BB95F6BC}" time="2026-05-08T14:53:31.676Z">
        <t:Attribution userId="S::dfurbano@minenergia.gov.co::0f2ffe40-d56a-43ae-9e44-593bfc99d9f8" userProvider="AD" userName="DIEGO FERNANDO URBANO CHAVES"/>
        <t:Anchor>
          <t:Comment id="1777230199"/>
        </t:Anchor>
        <t:SetTitle title="@JORGE ELIECER LOZANO OSPINA Por favor reducir el texto de acuerdo a lo conversado. Tratar que so sobrepase 8 párrafos. @DIEGO ARMANDO QUIROGA SOSA si quieres te puedo enviar una propuesta para que la revisen."/>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D494794E2F1F147A187F2716B2C6172" ma:contentTypeVersion="75" ma:contentTypeDescription="Create a new document." ma:contentTypeScope="" ma:versionID="ca7d3796df194d282f1087716b597ac4">
  <xsd:schema xmlns:xsd="http://www.w3.org/2001/XMLSchema" xmlns:xs="http://www.w3.org/2001/XMLSchema" xmlns:p="http://schemas.microsoft.com/office/2006/metadata/properties" xmlns:ns2="f0184f8d-bdb0-429a-9d3a-0f9da1dd7745" xmlns:ns3="01640979-21e2-4421-a22b-8dd073298a66" targetNamespace="http://schemas.microsoft.com/office/2006/metadata/properties" ma:root="true" ma:fieldsID="ed6ae8c45fe661108aa188c8993b112a" ns2:_="" ns3:_="">
    <xsd:import namespace="f0184f8d-bdb0-429a-9d3a-0f9da1dd7745"/>
    <xsd:import namespace="01640979-21e2-4421-a22b-8dd073298a6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CR" minOccurs="0"/>
                <xsd:element ref="ns3:MediaServiceGenerationTime" minOccurs="0"/>
                <xsd:element ref="ns3:MediaServiceEventHashCode" minOccurs="0"/>
                <xsd:element ref="ns3:MediaServiceDateTaken" minOccurs="0"/>
                <xsd:element ref="ns3:MediaServiceObjectDetectorVersions" minOccurs="0"/>
                <xsd:element ref="ns3:MediaLengthInSeconds" minOccurs="0"/>
                <xsd:element ref="ns3:Vinculos" minOccurs="0"/>
                <xsd:element ref="ns3:MediaServiceLocation" minOccurs="0"/>
                <xsd:element ref="ns3:MediaServiceSearchPropertie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184f8d-bdb0-429a-9d3a-0f9da1dd77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640979-21e2-4421-a22b-8dd073298a6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Vinculos" ma:index="18" nillable="true" ma:displayName="Vinculos" ma:format="Hyperlink" ma:internalName="Vinculos">
      <xsd:complexType>
        <xsd:complexContent>
          <xsd:extension base="dms:URL">
            <xsd:sequence>
              <xsd:element name="Url" type="dms:ValidUrl" minOccurs="0" nillable="true"/>
              <xsd:element name="Description" type="xsd:string" nillable="true"/>
            </xsd:sequence>
          </xsd:extension>
        </xsd:complexContent>
      </xsd:complex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1"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Vinculos xmlns="01640979-21e2-4421-a22b-8dd073298a66">
      <Url xsi:nil="true"/>
      <Description xsi:nil="true"/>
    </Vinculos>
    <lcf76f155ced4ddcb4097134ff3c332f xmlns="01640979-21e2-4421-a22b-8dd073298a66" xsi:nil="true"/>
  </documentManagement>
</p:properties>
</file>

<file path=customXml/itemProps1.xml><?xml version="1.0" encoding="utf-8"?>
<ds:datastoreItem xmlns:ds="http://schemas.openxmlformats.org/officeDocument/2006/customXml" ds:itemID="{63575506-6921-4422-BB49-902019D1D0F6}">
  <ds:schemaRefs>
    <ds:schemaRef ds:uri="http://schemas.microsoft.com/sharepoint/v3/contenttype/forms"/>
  </ds:schemaRefs>
</ds:datastoreItem>
</file>

<file path=customXml/itemProps2.xml><?xml version="1.0" encoding="utf-8"?>
<ds:datastoreItem xmlns:ds="http://schemas.openxmlformats.org/officeDocument/2006/customXml" ds:itemID="{D646B225-2892-4C15-8655-4CABB1A54F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184f8d-bdb0-429a-9d3a-0f9da1dd7745"/>
    <ds:schemaRef ds:uri="01640979-21e2-4421-a22b-8dd073298a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2B01D8-0877-498F-9B37-FF83915CD65E}">
  <ds:schemaRefs>
    <ds:schemaRef ds:uri="http://schemas.openxmlformats.org/officeDocument/2006/bibliography"/>
  </ds:schemaRefs>
</ds:datastoreItem>
</file>

<file path=customXml/itemProps4.xml><?xml version="1.0" encoding="utf-8"?>
<ds:datastoreItem xmlns:ds="http://schemas.openxmlformats.org/officeDocument/2006/customXml" ds:itemID="{F79D26EA-5244-464D-9DE6-74FE3D1855B6}">
  <ds:schemaRefs>
    <ds:schemaRef ds:uri="http://schemas.microsoft.com/office/2006/metadata/properties"/>
    <ds:schemaRef ds:uri="http://schemas.microsoft.com/office/infopath/2007/PartnerControls"/>
    <ds:schemaRef ds:uri="01640979-21e2-4421-a22b-8dd073298a6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18344</Words>
  <Characters>104561</Characters>
  <Application>Microsoft Office Word</Application>
  <DocSecurity>4</DocSecurity>
  <Lines>871</Lines>
  <Paragraphs>245</Paragraphs>
  <ScaleCrop>false</ScaleCrop>
  <Company/>
  <LinksUpToDate>false</LinksUpToDate>
  <CharactersWithSpaces>122660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PAULA FERNANDEZ RODRIGUEZ</dc:creator>
  <cp:keywords/>
  <dc:description/>
  <cp:lastModifiedBy>DIEGO FERNANDO URBANO CHAVES</cp:lastModifiedBy>
  <cp:revision>330</cp:revision>
  <dcterms:created xsi:type="dcterms:W3CDTF">2026-02-13T03:04:00Z</dcterms:created>
  <dcterms:modified xsi:type="dcterms:W3CDTF">2026-05-08T15:26:00Z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0x010100BD494794E2F1F147A187F2716B2C6172</vt:lpwstr>
  </property>
</Properties>
</file>